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85A11" w:rsidRPr="00735679" w:rsidRDefault="002F6BA3" w:rsidP="00685A11">
      <w:pPr>
        <w:pStyle w:val="Titre"/>
      </w:pPr>
      <w:r>
        <w:t>S</w:t>
      </w:r>
      <w:r w:rsidR="00685A11">
        <w:t>équence</w:t>
      </w:r>
      <w:r w:rsidR="00480F04">
        <w:t xml:space="preserve"> </w:t>
      </w:r>
      <w:r w:rsidR="00E85ABC">
        <w:t>6</w:t>
      </w:r>
    </w:p>
    <w:p w:rsidR="00685A11" w:rsidRDefault="00A552C1" w:rsidP="00685A11">
      <w:pPr>
        <w:pStyle w:val="Titre"/>
      </w:pPr>
      <w:r>
        <w:t>CH1</w:t>
      </w:r>
      <w:r w:rsidR="00E85ABC">
        <w:t>0</w:t>
      </w:r>
      <w:r>
        <w:t xml:space="preserve"> </w:t>
      </w:r>
      <w:r w:rsidR="00E85ABC">
        <w:t>Dosages directs par titrage</w:t>
      </w:r>
    </w:p>
    <w:p w:rsidR="00685A11" w:rsidRDefault="002F6BA3" w:rsidP="00685A11">
      <w:pPr>
        <w:pStyle w:val="Aretenirtexte"/>
      </w:pPr>
      <w:r>
        <w:rPr>
          <w:b/>
        </w:rPr>
        <w:t>Fiche</w:t>
      </w:r>
      <w:r w:rsidR="00685A11">
        <w:rPr>
          <w:b/>
        </w:rPr>
        <w:t xml:space="preserve"> </w:t>
      </w:r>
      <w:r>
        <w:t>liée</w:t>
      </w:r>
      <w:r w:rsidR="00685A11">
        <w:t xml:space="preserve"> à cette séquence :</w:t>
      </w:r>
    </w:p>
    <w:p w:rsidR="00685A11" w:rsidRPr="00F92BDF" w:rsidRDefault="00685A11" w:rsidP="00685A11">
      <w:pPr>
        <w:pStyle w:val="Aretenirtexte"/>
        <w:numPr>
          <w:ilvl w:val="0"/>
          <w:numId w:val="3"/>
        </w:numPr>
      </w:pPr>
      <w:r>
        <w:t xml:space="preserve">Fiche </w:t>
      </w:r>
      <w:r w:rsidR="00E85ABC">
        <w:t>de synthèse Séquence 6</w:t>
      </w:r>
    </w:p>
    <w:p w:rsidR="00685A11" w:rsidRDefault="00685A11" w:rsidP="00685A11">
      <w:pPr>
        <w:pStyle w:val="TitreActivit"/>
        <w:numPr>
          <w:ilvl w:val="0"/>
          <w:numId w:val="0"/>
        </w:numPr>
      </w:pPr>
      <w:r>
        <w:t>Activité</w:t>
      </w:r>
      <w:r w:rsidR="007269D4">
        <w:t xml:space="preserve"> </w:t>
      </w:r>
      <w:r w:rsidR="00E82D0F">
        <w:t>1</w:t>
      </w:r>
      <w:r>
        <w:t xml:space="preserve"> : </w:t>
      </w:r>
      <w:r w:rsidR="00E85ABC">
        <w:t xml:space="preserve">Titrage du diiode de la </w:t>
      </w:r>
      <w:r w:rsidR="00504510">
        <w:t>Bétadine®</w:t>
      </w:r>
    </w:p>
    <w:p w:rsidR="00A37E19" w:rsidRPr="00A37E19" w:rsidRDefault="00A37E19" w:rsidP="00060A61">
      <w:pPr>
        <w:pStyle w:val="NormalWeb"/>
        <w:spacing w:after="0" w:afterAutospacing="0"/>
        <w:jc w:val="both"/>
        <w:rPr>
          <w:rFonts w:asciiTheme="minorHAnsi" w:hAnsiTheme="minorHAnsi"/>
          <w:sz w:val="20"/>
          <w:szCs w:val="20"/>
        </w:rPr>
      </w:pPr>
      <w:r w:rsidRPr="00A37E19">
        <w:rPr>
          <w:rFonts w:asciiTheme="minorHAnsi" w:hAnsiTheme="minorHAnsi"/>
          <w:sz w:val="20"/>
          <w:szCs w:val="20"/>
        </w:rPr>
        <w:t>La Bétadine® est un antiseptique couramment utilisé pour désinfecter la peau avant une intervention médicale ou pour nettoyer certaines plaies. Lors d'un contrôle interne, le service qualité constate une légère dérive sur une unité de production de Bétadine®. Afin de vérifier que le procédé de fabrication reste maîtrisé, plusieurs échantillons sont prélevés et analysés.</w:t>
      </w:r>
    </w:p>
    <w:p w:rsidR="00685A11" w:rsidRDefault="002F6BA3" w:rsidP="00685A11">
      <w:r>
        <w:rPr>
          <w:noProof/>
          <w:lang w:eastAsia="fr-FR"/>
        </w:rPr>
        <mc:AlternateContent>
          <mc:Choice Requires="wps">
            <w:drawing>
              <wp:anchor distT="0" distB="0" distL="114300" distR="114300" simplePos="0" relativeHeight="251659264" behindDoc="0" locked="0" layoutInCell="1" allowOverlap="1" wp14:anchorId="75EC3094" wp14:editId="01109F65">
                <wp:simplePos x="0" y="0"/>
                <wp:positionH relativeFrom="column">
                  <wp:posOffset>14605</wp:posOffset>
                </wp:positionH>
                <wp:positionV relativeFrom="paragraph">
                  <wp:posOffset>183515</wp:posOffset>
                </wp:positionV>
                <wp:extent cx="6049645" cy="3985260"/>
                <wp:effectExtent l="0" t="0" r="27305" b="1524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3985260"/>
                        </a:xfrm>
                        <a:prstGeom prst="rect">
                          <a:avLst/>
                        </a:prstGeom>
                        <a:solidFill>
                          <a:srgbClr val="F2F2F2"/>
                        </a:solidFill>
                        <a:ln w="6350">
                          <a:solidFill>
                            <a:srgbClr val="808080"/>
                          </a:solidFill>
                          <a:miter lim="800000"/>
                          <a:headEnd/>
                          <a:tailEnd/>
                        </a:ln>
                      </wps:spPr>
                      <wps:txbx>
                        <w:txbxContent>
                          <w:p w:rsidR="00FC2E29" w:rsidRDefault="00685A11" w:rsidP="00FC2E29">
                            <w:pPr>
                              <w:spacing w:before="60" w:after="120"/>
                              <w:rPr>
                                <w:b/>
                                <w:color w:val="595959"/>
                                <w:sz w:val="22"/>
                              </w:rPr>
                            </w:pPr>
                            <w:r w:rsidRPr="00DF3729">
                              <w:rPr>
                                <w:b/>
                                <w:color w:val="595959"/>
                                <w:sz w:val="22"/>
                              </w:rPr>
                              <w:t xml:space="preserve">DOCUMENT </w:t>
                            </w:r>
                            <w:r w:rsidR="00134CA2">
                              <w:rPr>
                                <w:b/>
                                <w:color w:val="595959"/>
                                <w:sz w:val="22"/>
                              </w:rPr>
                              <w:t>1</w:t>
                            </w:r>
                            <w:r w:rsidRPr="00DF3729">
                              <w:rPr>
                                <w:b/>
                                <w:color w:val="595959"/>
                                <w:sz w:val="22"/>
                              </w:rPr>
                              <w:t xml:space="preserve"> : </w:t>
                            </w:r>
                            <w:r w:rsidR="00A37E19">
                              <w:rPr>
                                <w:b/>
                                <w:color w:val="595959"/>
                                <w:sz w:val="22"/>
                              </w:rPr>
                              <w:t>Protocole de titrage</w:t>
                            </w:r>
                          </w:p>
                          <w:p w:rsidR="00A37E19" w:rsidRDefault="00AA06DE" w:rsidP="00A37E19">
                            <w:r>
                              <w:t xml:space="preserve">La </w:t>
                            </w:r>
                            <w:r w:rsidR="00134CA2">
                              <w:t>Bétadine®</w:t>
                            </w:r>
                            <w:r>
                              <w:t xml:space="preserve"> prélevée sur la ligne de production étant trop concentrée pour la doser directement, il faut la diluer 10 fois.</w:t>
                            </w:r>
                          </w:p>
                          <w:p w:rsidR="00AA06DE" w:rsidRDefault="00AA06DE" w:rsidP="00A37E19">
                            <w:r>
                              <w:t>On prélève ensuite un volume V</w:t>
                            </w:r>
                            <w:r>
                              <w:rPr>
                                <w:vertAlign w:val="subscript"/>
                              </w:rPr>
                              <w:t>1</w:t>
                            </w:r>
                            <w:r>
                              <w:t xml:space="preserve"> = 10,0 </w:t>
                            </w:r>
                            <w:proofErr w:type="spellStart"/>
                            <w:r>
                              <w:t>mL</w:t>
                            </w:r>
                            <w:proofErr w:type="spellEnd"/>
                            <w:r>
                              <w:t xml:space="preserve"> de la solution diluée à l’aide d’une pipette jaugée que l’on introduit dans un erlenmeyer de 150 </w:t>
                            </w:r>
                            <w:proofErr w:type="spellStart"/>
                            <w:r>
                              <w:t>mL</w:t>
                            </w:r>
                            <w:proofErr w:type="spellEnd"/>
                            <w:r>
                              <w:t>.</w:t>
                            </w:r>
                            <w:r w:rsidR="00504510">
                              <w:t xml:space="preserve"> Ajouter</w:t>
                            </w:r>
                            <w:r w:rsidR="001C0860">
                              <w:t xml:space="preserve"> environ 20 </w:t>
                            </w:r>
                            <w:proofErr w:type="spellStart"/>
                            <w:r w:rsidR="001C0860">
                              <w:t>mL</w:t>
                            </w:r>
                            <w:proofErr w:type="spellEnd"/>
                            <w:r w:rsidR="001C0860">
                              <w:t xml:space="preserve"> d’eau distillée et</w:t>
                            </w:r>
                            <w:r w:rsidR="00504510">
                              <w:t xml:space="preserve"> le barreau aimanté dans l’</w:t>
                            </w:r>
                            <w:r w:rsidR="001C0860">
                              <w:t>erlenmeyer. M</w:t>
                            </w:r>
                            <w:r w:rsidR="00504510">
                              <w:t>ettre en route l’agitateur magnétique.</w:t>
                            </w:r>
                            <w:r>
                              <w:t xml:space="preserve"> La burette est </w:t>
                            </w:r>
                            <w:r w:rsidR="00060A61">
                              <w:t xml:space="preserve">préalablement </w:t>
                            </w:r>
                            <w:r w:rsidR="001C0860">
                              <w:t xml:space="preserve">soigneusement rincée et </w:t>
                            </w:r>
                            <w:r>
                              <w:t>remplie avec une solution de thiosulfate de sodium</w:t>
                            </w:r>
                            <w:r w:rsidR="004D68B3">
                              <w:t xml:space="preserve"> (</w:t>
                            </w:r>
                            <w:r w:rsidR="00134CA2">
                              <w:t>2</w:t>
                            </w:r>
                            <w:r w:rsidR="004D68B3">
                              <w:t>Na</w:t>
                            </w:r>
                            <w:r w:rsidR="004D68B3">
                              <w:rPr>
                                <w:vertAlign w:val="superscript"/>
                              </w:rPr>
                              <w:t>+</w:t>
                            </w:r>
                            <w:r w:rsidR="00134CA2">
                              <w:rPr>
                                <w:vertAlign w:val="superscript"/>
                              </w:rPr>
                              <w:t> </w:t>
                            </w:r>
                            <w:r w:rsidR="00134CA2">
                              <w:t xml:space="preserve">; </w:t>
                            </w:r>
                            <w:r w:rsidR="004D68B3">
                              <w:t>S</w:t>
                            </w:r>
                            <w:r w:rsidR="00134CA2">
                              <w:rPr>
                                <w:vertAlign w:val="subscript"/>
                              </w:rPr>
                              <w:t>2</w:t>
                            </w:r>
                            <w:r w:rsidR="00134CA2">
                              <w:t>O</w:t>
                            </w:r>
                            <w:r w:rsidR="00134CA2">
                              <w:rPr>
                                <w:vertAlign w:val="subscript"/>
                              </w:rPr>
                              <w:t>3</w:t>
                            </w:r>
                            <w:r w:rsidR="00134CA2">
                              <w:rPr>
                                <w:vertAlign w:val="superscript"/>
                              </w:rPr>
                              <w:t>2-</w:t>
                            </w:r>
                            <w:r w:rsidR="00134CA2">
                              <w:t>)</w:t>
                            </w:r>
                            <w:r w:rsidR="001C0860">
                              <w:t xml:space="preserve"> de</w:t>
                            </w:r>
                            <w:r>
                              <w:t xml:space="preserve"> concentration en quantité de matière de C</w:t>
                            </w:r>
                            <w:r>
                              <w:rPr>
                                <w:vertAlign w:val="subscript"/>
                              </w:rPr>
                              <w:t>2</w:t>
                            </w:r>
                            <w:r>
                              <w:t xml:space="preserve"> = 5,0.10</w:t>
                            </w:r>
                            <w:r>
                              <w:rPr>
                                <w:vertAlign w:val="superscript"/>
                              </w:rPr>
                              <w:t>-3</w:t>
                            </w:r>
                            <w:r>
                              <w:t xml:space="preserve"> mol.L</w:t>
                            </w:r>
                            <w:r>
                              <w:rPr>
                                <w:vertAlign w:val="superscript"/>
                              </w:rPr>
                              <w:t>-1</w:t>
                            </w:r>
                            <w:r>
                              <w:t>. On verse ensuite progressivement dans l’erlenmeyer la soluti</w:t>
                            </w:r>
                            <w:r w:rsidR="004D68B3">
                              <w:t xml:space="preserve">on de thiosulfate de sodium en ayant préalablement </w:t>
                            </w:r>
                            <w:r w:rsidR="00134CA2">
                              <w:t>vérifié</w:t>
                            </w:r>
                            <w:r w:rsidR="004D68B3">
                              <w:t xml:space="preserve"> qu’il n’y pas de bulles dans la burette et que le zéro ait été fait correctement</w:t>
                            </w:r>
                            <w:r>
                              <w:t xml:space="preserve">. </w:t>
                            </w:r>
                          </w:p>
                          <w:p w:rsidR="00AA06DE" w:rsidRDefault="004D68B3" w:rsidP="00A37E19">
                            <w:r>
                              <w:t>Ce titrage suit l’équation suivante :</w:t>
                            </w:r>
                          </w:p>
                          <w:p w:rsidR="004D68B3" w:rsidRDefault="004D68B3" w:rsidP="00A37E19"/>
                          <w:p w:rsidR="004D68B3" w:rsidRDefault="00000000" w:rsidP="00A37E19">
                            <m:oMathPara>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2</m:t>
                                        </m:r>
                                      </m:e>
                                      <m:sub>
                                        <m:r>
                                          <w:rPr>
                                            <w:rFonts w:ascii="Cambria Math" w:hAnsi="Cambria Math"/>
                                          </w:rPr>
                                          <m:t>(aq)</m:t>
                                        </m:r>
                                      </m:sub>
                                    </m:sSub>
                                  </m:sub>
                                </m:sSub>
                                <m:r>
                                  <w:rPr>
                                    <w:rFonts w:ascii="Cambria Math" w:hAnsi="Cambria Math"/>
                                  </w:rPr>
                                  <m:t>+</m:t>
                                </m:r>
                                <m:sSub>
                                  <m:sSubPr>
                                    <m:ctrlPr>
                                      <w:rPr>
                                        <w:rFonts w:ascii="Cambria Math" w:hAnsi="Cambria Math"/>
                                        <w:i/>
                                      </w:rPr>
                                    </m:ctrlPr>
                                  </m:sSubPr>
                                  <m:e>
                                    <m:r>
                                      <w:rPr>
                                        <w:rFonts w:ascii="Cambria Math" w:hAnsi="Cambria Math"/>
                                      </w:rPr>
                                      <m:t>2S</m:t>
                                    </m:r>
                                  </m:e>
                                  <m:sub>
                                    <m:r>
                                      <w:rPr>
                                        <w:rFonts w:ascii="Cambria Math" w:hAnsi="Cambria Math"/>
                                      </w:rPr>
                                      <m:t>2</m:t>
                                    </m:r>
                                  </m:sub>
                                </m:sSub>
                                <m:sSubSup>
                                  <m:sSubSupPr>
                                    <m:ctrlPr>
                                      <w:rPr>
                                        <w:rFonts w:ascii="Cambria Math" w:hAnsi="Cambria Math"/>
                                        <w:i/>
                                      </w:rPr>
                                    </m:ctrlPr>
                                  </m:sSubSupPr>
                                  <m:e>
                                    <m:r>
                                      <w:rPr>
                                        <w:rFonts w:ascii="Cambria Math" w:hAnsi="Cambria Math"/>
                                      </w:rPr>
                                      <m:t>O</m:t>
                                    </m:r>
                                  </m:e>
                                  <m:sub>
                                    <m:sSub>
                                      <m:sSubPr>
                                        <m:ctrlPr>
                                          <w:rPr>
                                            <w:rFonts w:ascii="Cambria Math" w:hAnsi="Cambria Math"/>
                                            <w:i/>
                                          </w:rPr>
                                        </m:ctrlPr>
                                      </m:sSubPr>
                                      <m:e>
                                        <m:r>
                                          <w:rPr>
                                            <w:rFonts w:ascii="Cambria Math" w:hAnsi="Cambria Math"/>
                                          </w:rPr>
                                          <m:t>3</m:t>
                                        </m:r>
                                      </m:e>
                                      <m:sub>
                                        <m:r>
                                          <w:rPr>
                                            <w:rFonts w:ascii="Cambria Math" w:hAnsi="Cambria Math"/>
                                          </w:rPr>
                                          <m:t>(aq)</m:t>
                                        </m:r>
                                      </m:sub>
                                    </m:sSub>
                                  </m:sub>
                                  <m:sup>
                                    <m:r>
                                      <w:rPr>
                                        <w:rFonts w:ascii="Cambria Math" w:hAnsi="Cambria Math"/>
                                      </w:rPr>
                                      <m:t>2-</m:t>
                                    </m:r>
                                  </m:sup>
                                </m:sSubSup>
                                <m:r>
                                  <w:rPr>
                                    <w:rFonts w:ascii="Cambria Math" w:hAnsi="Cambria Math"/>
                                  </w:rPr>
                                  <m:t>→2</m:t>
                                </m:r>
                                <m:sSub>
                                  <m:sSubPr>
                                    <m:ctrlPr>
                                      <w:rPr>
                                        <w:rFonts w:ascii="Cambria Math" w:hAnsi="Cambria Math"/>
                                        <w:i/>
                                      </w:rPr>
                                    </m:ctrlPr>
                                  </m:sSubPr>
                                  <m:e>
                                    <m:sSup>
                                      <m:sSupPr>
                                        <m:ctrlPr>
                                          <w:rPr>
                                            <w:rFonts w:ascii="Cambria Math" w:hAnsi="Cambria Math"/>
                                            <w:i/>
                                          </w:rPr>
                                        </m:ctrlPr>
                                      </m:sSupPr>
                                      <m:e>
                                        <m:r>
                                          <w:rPr>
                                            <w:rFonts w:ascii="Cambria Math" w:hAnsi="Cambria Math"/>
                                          </w:rPr>
                                          <m:t>I</m:t>
                                        </m:r>
                                      </m:e>
                                      <m:sup>
                                        <m:r>
                                          <w:rPr>
                                            <w:rFonts w:ascii="Cambria Math" w:hAnsi="Cambria Math"/>
                                          </w:rPr>
                                          <m:t>-</m:t>
                                        </m:r>
                                      </m:sup>
                                    </m:sSup>
                                  </m:e>
                                  <m:sub>
                                    <m:r>
                                      <w:rPr>
                                        <w:rFonts w:ascii="Cambria Math" w:hAnsi="Cambria Math"/>
                                      </w:rPr>
                                      <m:t>(aq)</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sSubSup>
                                  <m:sSubSupPr>
                                    <m:ctrlPr>
                                      <w:rPr>
                                        <w:rFonts w:ascii="Cambria Math" w:hAnsi="Cambria Math"/>
                                        <w:i/>
                                      </w:rPr>
                                    </m:ctrlPr>
                                  </m:sSubSupPr>
                                  <m:e>
                                    <m:r>
                                      <w:rPr>
                                        <w:rFonts w:ascii="Cambria Math" w:hAnsi="Cambria Math"/>
                                      </w:rPr>
                                      <m:t>O</m:t>
                                    </m:r>
                                  </m:e>
                                  <m:sub>
                                    <m:sSub>
                                      <m:sSubPr>
                                        <m:ctrlPr>
                                          <w:rPr>
                                            <w:rFonts w:ascii="Cambria Math" w:hAnsi="Cambria Math"/>
                                            <w:i/>
                                          </w:rPr>
                                        </m:ctrlPr>
                                      </m:sSubPr>
                                      <m:e>
                                        <m:r>
                                          <w:rPr>
                                            <w:rFonts w:ascii="Cambria Math" w:hAnsi="Cambria Math"/>
                                          </w:rPr>
                                          <m:t>6</m:t>
                                        </m:r>
                                      </m:e>
                                      <m:sub>
                                        <m:r>
                                          <w:rPr>
                                            <w:rFonts w:ascii="Cambria Math" w:hAnsi="Cambria Math"/>
                                          </w:rPr>
                                          <m:t>(aq)</m:t>
                                        </m:r>
                                      </m:sub>
                                    </m:sSub>
                                  </m:sub>
                                  <m:sup>
                                    <m:r>
                                      <w:rPr>
                                        <w:rFonts w:ascii="Cambria Math" w:hAnsi="Cambria Math"/>
                                      </w:rPr>
                                      <m:t>2-</m:t>
                                    </m:r>
                                  </m:sup>
                                </m:sSubSup>
                              </m:oMath>
                            </m:oMathPara>
                          </w:p>
                          <w:p w:rsidR="00AA06DE" w:rsidRDefault="00AA06DE" w:rsidP="00A37E19">
                            <w:r>
                              <w:rPr>
                                <w:b/>
                              </w:rPr>
                              <w:t>Repérage de l’équivalence </w:t>
                            </w:r>
                            <w:r>
                              <w:t>:</w:t>
                            </w:r>
                          </w:p>
                          <w:p w:rsidR="00AA06DE" w:rsidRDefault="00AA06DE" w:rsidP="00A37E19">
                            <w:r>
                              <w:t>Dans ce titrage, toutes les espèces chimiques sont incolores, sauf le diiode qui est jaune/brun.</w:t>
                            </w:r>
                          </w:p>
                          <w:p w:rsidR="00AA06DE" w:rsidRDefault="00AA06DE" w:rsidP="00A37E19">
                            <w:r>
                              <w:t xml:space="preserve">Avant l’équivalence, le diiode </w:t>
                            </w:r>
                            <w:r w:rsidR="00C65689">
                              <w:t>réagit et disparait progressivement, mais il reste en excès : la solution reste brune mais s’éclaircit progressivement.</w:t>
                            </w:r>
                          </w:p>
                          <w:p w:rsidR="00C65689" w:rsidRDefault="00C65689" w:rsidP="00A37E19">
                            <w:r>
                              <w:t>A l’équivalence, il n’y a plus de diiode dans l’erlenmeyer. La solution est à ce moment totalement décolorée.</w:t>
                            </w:r>
                          </w:p>
                          <w:p w:rsidR="00C65689" w:rsidRDefault="00C65689" w:rsidP="00A37E19"/>
                          <w:p w:rsidR="00190F51" w:rsidRDefault="00C65689">
                            <w:r>
                              <w:t>A l’approche de l’équivalence, la solution devient jaune pâle : il est alors difficile de repérer le moment exact où la solution est totalement décolorée. On ajoute alors 4 à 5 gouttes d’empois d’amidon. On obtient alors une coloration bleue noire intense qui va disparaître brusquement  à l’équivalence, ce qui facilite le repérage.</w:t>
                            </w:r>
                          </w:p>
                          <w:p w:rsidR="004D68B3" w:rsidRDefault="004D68B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15pt;margin-top:14.45pt;width:476.35pt;height:3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SqFLgIAAFEEAAAOAAAAZHJzL2Uyb0RvYy54bWysVG1v2yAQ/j5p/wHxfbGTJllixam6dJkm&#10;dS9Sux+AMbbRgGNAYne/fgdO06jbvkyLJXQHx8Nzz91lcz1oRY7CeQmmpNNJTokwHGpp2pJ+e9i/&#10;WVHiAzM1U2BESR+Fp9fb1682vS3EDDpQtXAEQYwvelvSLgRbZJnnndDMT8AKg4cNOM0Cuq7Nasd6&#10;RNcqm+X5MuvB1dYBF97j7u14SLcJv2kED1+axotAVEmRW0irS2sV12y7YUXrmO0kP9Fg/8BCM2nw&#10;0TPULQuMHJz8DUpL7sBDEyYcdAZNI7lIOWA20/xFNvcdsyLlguJ4e5bJ/z9Y/vn41RFZl3ROiWEa&#10;S/QghkDewUAWUZ3e+gKD7i2GhQG3scopU2/vgH/3xMCuY6YVN85B3wlWI7tpvJldXB1xfASp+k9Q&#10;4zPsECABDY3TUToUgyA6VunxXJlIhePmMp+vl/MFJRzPrtarxWyZapex4um6dT58EKBJNErqsPQJ&#10;nh3vfIh0WPEUEl/zoGS9l0olx7XVTjlyZNgm+1n8UgYvwpQhPXK5WuSjAn+FWOXx+xOElgH7XUld&#10;0lUefzGIFVG396ZOdmBSjTZSVuYkZNRuVDEM1YCBUd0K6keU1MHY1ziHaHTgflLSY0+X1P84MCco&#10;UR8NlmU9nc/jECRnvng7Q8ddnlSXJ8xwhCppoGQ0d2EcnIN1su3wpbERDNxgKRuZRH5mdeKNfZu0&#10;P81YHIxLP0U9/xNsfwEAAP//AwBQSwMEFAAGAAgAAAAhAEVS1YLfAAAACAEAAA8AAABkcnMvZG93&#10;bnJldi54bWxMj8FOwzAQRO9I/IO1SNyo00CiJsSpChJI0AuU0rMbL0mEvQ6x24a/ZznBaTWa0eyb&#10;ajk5K444ht6TgvksAYHUeNNTq2D79nC1ABGiJqOtJ1TwjQGW9flZpUvjT/SKx01sBZdQKLWCLsah&#10;lDI0HTodZn5AYu/Dj05HlmMrzahPXO6sTJMkl073xB86PeB9h83n5uAUrLePO5sO86eXm+dp9343&#10;Fauvwih1eTGtbkFEnOJfGH7xGR1qZtr7A5kgrIL0moN8FgUItoss42l7BXmWZyDrSv4fUP8AAAD/&#10;/wMAUEsBAi0AFAAGAAgAAAAhALaDOJL+AAAA4QEAABMAAAAAAAAAAAAAAAAAAAAAAFtDb250ZW50&#10;X1R5cGVzXS54bWxQSwECLQAUAAYACAAAACEAOP0h/9YAAACUAQAACwAAAAAAAAAAAAAAAAAvAQAA&#10;X3JlbHMvLnJlbHNQSwECLQAUAAYACAAAACEAw2kqhS4CAABRBAAADgAAAAAAAAAAAAAAAAAuAgAA&#10;ZHJzL2Uyb0RvYy54bWxQSwECLQAUAAYACAAAACEARVLVgt8AAAAIAQAADwAAAAAAAAAAAAAAAACI&#10;BAAAZHJzL2Rvd25yZXYueG1sUEsFBgAAAAAEAAQA8wAAAJQFAAAAAA==&#10;" fillcolor="#f2f2f2" strokecolor="gray" strokeweight=".5pt">
                <v:textbox>
                  <w:txbxContent>
                    <w:p w:rsidR="00FC2E29" w:rsidRDefault="00685A11" w:rsidP="00FC2E29">
                      <w:pPr>
                        <w:spacing w:before="60" w:after="120"/>
                        <w:rPr>
                          <w:b/>
                          <w:color w:val="595959"/>
                          <w:sz w:val="22"/>
                        </w:rPr>
                      </w:pPr>
                      <w:bookmarkStart w:id="1" w:name="_GoBack"/>
                      <w:r w:rsidRPr="00DF3729">
                        <w:rPr>
                          <w:b/>
                          <w:color w:val="595959"/>
                          <w:sz w:val="22"/>
                        </w:rPr>
                        <w:t xml:space="preserve">DOCUMENT </w:t>
                      </w:r>
                      <w:r w:rsidR="00134CA2">
                        <w:rPr>
                          <w:b/>
                          <w:color w:val="595959"/>
                          <w:sz w:val="22"/>
                        </w:rPr>
                        <w:t>1</w:t>
                      </w:r>
                      <w:r w:rsidRPr="00DF3729">
                        <w:rPr>
                          <w:b/>
                          <w:color w:val="595959"/>
                          <w:sz w:val="22"/>
                        </w:rPr>
                        <w:t xml:space="preserve"> : </w:t>
                      </w:r>
                      <w:r w:rsidR="00A37E19">
                        <w:rPr>
                          <w:b/>
                          <w:color w:val="595959"/>
                          <w:sz w:val="22"/>
                        </w:rPr>
                        <w:t>Protocole de titrage</w:t>
                      </w:r>
                    </w:p>
                    <w:p w:rsidR="00A37E19" w:rsidRDefault="00AA06DE" w:rsidP="00A37E19">
                      <w:r>
                        <w:t xml:space="preserve">La </w:t>
                      </w:r>
                      <w:r w:rsidR="00134CA2">
                        <w:t>Bétadine®</w:t>
                      </w:r>
                      <w:r>
                        <w:t xml:space="preserve"> prélevée sur la ligne de production étant trop concentrée pour la doser directement, il faut la diluer 10 fois.</w:t>
                      </w:r>
                    </w:p>
                    <w:p w:rsidR="00AA06DE" w:rsidRDefault="00AA06DE" w:rsidP="00A37E19">
                      <w:r>
                        <w:t>On prélève ensuite un volume V</w:t>
                      </w:r>
                      <w:r>
                        <w:rPr>
                          <w:vertAlign w:val="subscript"/>
                        </w:rPr>
                        <w:t>1</w:t>
                      </w:r>
                      <w:r>
                        <w:t xml:space="preserve"> = 10,0 </w:t>
                      </w:r>
                      <w:proofErr w:type="spellStart"/>
                      <w:r>
                        <w:t>mL</w:t>
                      </w:r>
                      <w:proofErr w:type="spellEnd"/>
                      <w:r>
                        <w:t xml:space="preserve"> de la solution diluée à l’aide d’une pipette jaugée que l’on introduit dans un erlenmeyer de 150 </w:t>
                      </w:r>
                      <w:proofErr w:type="spellStart"/>
                      <w:r>
                        <w:t>mL</w:t>
                      </w:r>
                      <w:proofErr w:type="spellEnd"/>
                      <w:r>
                        <w:t>.</w:t>
                      </w:r>
                      <w:r w:rsidR="00504510">
                        <w:t xml:space="preserve"> Ajouter</w:t>
                      </w:r>
                      <w:r w:rsidR="001C0860">
                        <w:t xml:space="preserve"> environ 20 </w:t>
                      </w:r>
                      <w:proofErr w:type="spellStart"/>
                      <w:r w:rsidR="001C0860">
                        <w:t>mL</w:t>
                      </w:r>
                      <w:proofErr w:type="spellEnd"/>
                      <w:r w:rsidR="001C0860">
                        <w:t xml:space="preserve"> d’eau distillée et</w:t>
                      </w:r>
                      <w:r w:rsidR="00504510">
                        <w:t xml:space="preserve"> le barreau aimanté dans l’</w:t>
                      </w:r>
                      <w:r w:rsidR="001C0860">
                        <w:t>erlenmeyer. M</w:t>
                      </w:r>
                      <w:r w:rsidR="00504510">
                        <w:t>ettre en route l’agitateur magnétique.</w:t>
                      </w:r>
                      <w:r>
                        <w:t xml:space="preserve"> La burette est </w:t>
                      </w:r>
                      <w:r w:rsidR="00060A61">
                        <w:t xml:space="preserve">préalablement </w:t>
                      </w:r>
                      <w:r w:rsidR="001C0860">
                        <w:t xml:space="preserve">soigneusement rincée et </w:t>
                      </w:r>
                      <w:r>
                        <w:t>remplie avec une solution de thiosulfate de sodium</w:t>
                      </w:r>
                      <w:r w:rsidR="004D68B3">
                        <w:t xml:space="preserve"> (</w:t>
                      </w:r>
                      <w:r w:rsidR="00134CA2">
                        <w:t>2</w:t>
                      </w:r>
                      <w:r w:rsidR="004D68B3">
                        <w:t>Na</w:t>
                      </w:r>
                      <w:r w:rsidR="004D68B3">
                        <w:rPr>
                          <w:vertAlign w:val="superscript"/>
                        </w:rPr>
                        <w:t>+</w:t>
                      </w:r>
                      <w:r w:rsidR="00134CA2">
                        <w:rPr>
                          <w:vertAlign w:val="superscript"/>
                        </w:rPr>
                        <w:t> </w:t>
                      </w:r>
                      <w:r w:rsidR="00134CA2">
                        <w:t xml:space="preserve">; </w:t>
                      </w:r>
                      <w:r w:rsidR="004D68B3">
                        <w:t>S</w:t>
                      </w:r>
                      <w:r w:rsidR="00134CA2">
                        <w:rPr>
                          <w:vertAlign w:val="subscript"/>
                        </w:rPr>
                        <w:t>2</w:t>
                      </w:r>
                      <w:r w:rsidR="00134CA2">
                        <w:t>O</w:t>
                      </w:r>
                      <w:r w:rsidR="00134CA2">
                        <w:rPr>
                          <w:vertAlign w:val="subscript"/>
                        </w:rPr>
                        <w:t>3</w:t>
                      </w:r>
                      <w:r w:rsidR="00134CA2">
                        <w:rPr>
                          <w:vertAlign w:val="superscript"/>
                        </w:rPr>
                        <w:t>2-</w:t>
                      </w:r>
                      <w:r w:rsidR="00134CA2">
                        <w:t>)</w:t>
                      </w:r>
                      <w:r w:rsidR="001C0860">
                        <w:t xml:space="preserve"> de</w:t>
                      </w:r>
                      <w:r>
                        <w:t xml:space="preserve"> concentration en quantité de matière de C</w:t>
                      </w:r>
                      <w:r>
                        <w:rPr>
                          <w:vertAlign w:val="subscript"/>
                        </w:rPr>
                        <w:t>2</w:t>
                      </w:r>
                      <w:r>
                        <w:t xml:space="preserve"> = 5,0.10</w:t>
                      </w:r>
                      <w:r>
                        <w:rPr>
                          <w:vertAlign w:val="superscript"/>
                        </w:rPr>
                        <w:t>-3</w:t>
                      </w:r>
                      <w:r>
                        <w:t xml:space="preserve"> mol.L</w:t>
                      </w:r>
                      <w:r>
                        <w:rPr>
                          <w:vertAlign w:val="superscript"/>
                        </w:rPr>
                        <w:t>-1</w:t>
                      </w:r>
                      <w:r>
                        <w:t>. On verse ensuite progressivement dans l’erlenmeyer la soluti</w:t>
                      </w:r>
                      <w:r w:rsidR="004D68B3">
                        <w:t xml:space="preserve">on de thiosulfate de sodium en ayant préalablement </w:t>
                      </w:r>
                      <w:r w:rsidR="00134CA2">
                        <w:t>vérifié</w:t>
                      </w:r>
                      <w:r w:rsidR="004D68B3">
                        <w:t xml:space="preserve"> qu’il n’y pas de bulles dans la burette et que le zéro ait été fait correctement</w:t>
                      </w:r>
                      <w:r>
                        <w:t xml:space="preserve">. </w:t>
                      </w:r>
                    </w:p>
                    <w:p w:rsidR="00AA06DE" w:rsidRDefault="004D68B3" w:rsidP="00A37E19">
                      <w:r>
                        <w:t>Ce titrage suit l’équation suivante :</w:t>
                      </w:r>
                    </w:p>
                    <w:p w:rsidR="004D68B3" w:rsidRDefault="004D68B3" w:rsidP="00A37E19"/>
                    <w:p w:rsidR="004D68B3" w:rsidRDefault="004D68B3" w:rsidP="00A37E19">
                      <m:oMathPara>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2</m:t>
                                  </m:r>
                                </m:e>
                                <m:sub>
                                  <m:r>
                                    <w:rPr>
                                      <w:rFonts w:ascii="Cambria Math" w:hAnsi="Cambria Math"/>
                                    </w:rPr>
                                    <m:t>(aq)</m:t>
                                  </m:r>
                                </m:sub>
                              </m:sSub>
                            </m:sub>
                          </m:sSub>
                          <m:r>
                            <w:rPr>
                              <w:rFonts w:ascii="Cambria Math" w:hAnsi="Cambria Math"/>
                            </w:rPr>
                            <m:t>+</m:t>
                          </m:r>
                          <m:sSub>
                            <m:sSubPr>
                              <m:ctrlPr>
                                <w:rPr>
                                  <w:rFonts w:ascii="Cambria Math" w:hAnsi="Cambria Math"/>
                                  <w:i/>
                                </w:rPr>
                              </m:ctrlPr>
                            </m:sSubPr>
                            <m:e>
                              <m:r>
                                <w:rPr>
                                  <w:rFonts w:ascii="Cambria Math" w:hAnsi="Cambria Math"/>
                                </w:rPr>
                                <m:t>2S</m:t>
                              </m:r>
                            </m:e>
                            <m:sub>
                              <m:r>
                                <w:rPr>
                                  <w:rFonts w:ascii="Cambria Math" w:hAnsi="Cambria Math"/>
                                </w:rPr>
                                <m:t>2</m:t>
                              </m:r>
                            </m:sub>
                          </m:sSub>
                          <m:sSubSup>
                            <m:sSubSupPr>
                              <m:ctrlPr>
                                <w:rPr>
                                  <w:rFonts w:ascii="Cambria Math" w:hAnsi="Cambria Math"/>
                                  <w:i/>
                                </w:rPr>
                              </m:ctrlPr>
                            </m:sSubSupPr>
                            <m:e>
                              <m:r>
                                <w:rPr>
                                  <w:rFonts w:ascii="Cambria Math" w:hAnsi="Cambria Math"/>
                                </w:rPr>
                                <m:t>O</m:t>
                              </m:r>
                            </m:e>
                            <m:sub>
                              <m:sSub>
                                <m:sSubPr>
                                  <m:ctrlPr>
                                    <w:rPr>
                                      <w:rFonts w:ascii="Cambria Math" w:hAnsi="Cambria Math"/>
                                      <w:i/>
                                    </w:rPr>
                                  </m:ctrlPr>
                                </m:sSubPr>
                                <m:e>
                                  <m:r>
                                    <w:rPr>
                                      <w:rFonts w:ascii="Cambria Math" w:hAnsi="Cambria Math"/>
                                    </w:rPr>
                                    <m:t>3</m:t>
                                  </m:r>
                                </m:e>
                                <m:sub>
                                  <m:r>
                                    <w:rPr>
                                      <w:rFonts w:ascii="Cambria Math" w:hAnsi="Cambria Math"/>
                                    </w:rPr>
                                    <m:t>(aq)</m:t>
                                  </m:r>
                                </m:sub>
                              </m:sSub>
                            </m:sub>
                            <m:sup>
                              <m:r>
                                <w:rPr>
                                  <w:rFonts w:ascii="Cambria Math" w:hAnsi="Cambria Math"/>
                                </w:rPr>
                                <m:t>2-</m:t>
                              </m:r>
                            </m:sup>
                          </m:sSubSup>
                          <m:r>
                            <w:rPr>
                              <w:rFonts w:ascii="Cambria Math" w:hAnsi="Cambria Math"/>
                            </w:rPr>
                            <m:t>→2</m:t>
                          </m:r>
                          <m:sSub>
                            <m:sSubPr>
                              <m:ctrlPr>
                                <w:rPr>
                                  <w:rFonts w:ascii="Cambria Math" w:hAnsi="Cambria Math"/>
                                  <w:i/>
                                </w:rPr>
                              </m:ctrlPr>
                            </m:sSubPr>
                            <m:e>
                              <m:sSup>
                                <m:sSupPr>
                                  <m:ctrlPr>
                                    <w:rPr>
                                      <w:rFonts w:ascii="Cambria Math" w:hAnsi="Cambria Math"/>
                                      <w:i/>
                                    </w:rPr>
                                  </m:ctrlPr>
                                </m:sSupPr>
                                <m:e>
                                  <m:r>
                                    <w:rPr>
                                      <w:rFonts w:ascii="Cambria Math" w:hAnsi="Cambria Math"/>
                                    </w:rPr>
                                    <m:t>I</m:t>
                                  </m:r>
                                </m:e>
                                <m:sup>
                                  <m:r>
                                    <w:rPr>
                                      <w:rFonts w:ascii="Cambria Math" w:hAnsi="Cambria Math"/>
                                    </w:rPr>
                                    <m:t>-</m:t>
                                  </m:r>
                                </m:sup>
                              </m:sSup>
                            </m:e>
                            <m:sub>
                              <m:r>
                                <w:rPr>
                                  <w:rFonts w:ascii="Cambria Math" w:hAnsi="Cambria Math"/>
                                </w:rPr>
                                <m:t>(aq)</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sSubSup>
                            <m:sSubSupPr>
                              <m:ctrlPr>
                                <w:rPr>
                                  <w:rFonts w:ascii="Cambria Math" w:hAnsi="Cambria Math"/>
                                  <w:i/>
                                </w:rPr>
                              </m:ctrlPr>
                            </m:sSubSupPr>
                            <m:e>
                              <m:r>
                                <w:rPr>
                                  <w:rFonts w:ascii="Cambria Math" w:hAnsi="Cambria Math"/>
                                </w:rPr>
                                <m:t>O</m:t>
                              </m:r>
                            </m:e>
                            <m:sub>
                              <m:sSub>
                                <m:sSubPr>
                                  <m:ctrlPr>
                                    <w:rPr>
                                      <w:rFonts w:ascii="Cambria Math" w:hAnsi="Cambria Math"/>
                                      <w:i/>
                                    </w:rPr>
                                  </m:ctrlPr>
                                </m:sSubPr>
                                <m:e>
                                  <m:r>
                                    <w:rPr>
                                      <w:rFonts w:ascii="Cambria Math" w:hAnsi="Cambria Math"/>
                                    </w:rPr>
                                    <m:t>6</m:t>
                                  </m:r>
                                </m:e>
                                <m:sub>
                                  <m:r>
                                    <w:rPr>
                                      <w:rFonts w:ascii="Cambria Math" w:hAnsi="Cambria Math"/>
                                    </w:rPr>
                                    <m:t>(aq)</m:t>
                                  </m:r>
                                </m:sub>
                              </m:sSub>
                            </m:sub>
                            <m:sup>
                              <m:r>
                                <w:rPr>
                                  <w:rFonts w:ascii="Cambria Math" w:hAnsi="Cambria Math"/>
                                </w:rPr>
                                <m:t>2-</m:t>
                              </m:r>
                            </m:sup>
                          </m:sSubSup>
                        </m:oMath>
                      </m:oMathPara>
                    </w:p>
                    <w:p w:rsidR="00AA06DE" w:rsidRDefault="00AA06DE" w:rsidP="00A37E19">
                      <w:r>
                        <w:rPr>
                          <w:b/>
                        </w:rPr>
                        <w:t>Repérage de l’équivalence </w:t>
                      </w:r>
                      <w:r>
                        <w:t>:</w:t>
                      </w:r>
                    </w:p>
                    <w:p w:rsidR="00AA06DE" w:rsidRDefault="00AA06DE" w:rsidP="00A37E19">
                      <w:r>
                        <w:t xml:space="preserve">Dans ce titrage, toutes les espèces chimiques sont incolores, sauf le </w:t>
                      </w:r>
                      <w:proofErr w:type="spellStart"/>
                      <w:r>
                        <w:t>diiode</w:t>
                      </w:r>
                      <w:proofErr w:type="spellEnd"/>
                      <w:r>
                        <w:t xml:space="preserve"> qui est jaune/brun.</w:t>
                      </w:r>
                    </w:p>
                    <w:p w:rsidR="00AA06DE" w:rsidRDefault="00AA06DE" w:rsidP="00A37E19">
                      <w:r>
                        <w:t xml:space="preserve">Avant l’équivalence, le </w:t>
                      </w:r>
                      <w:proofErr w:type="spellStart"/>
                      <w:r>
                        <w:t>diiode</w:t>
                      </w:r>
                      <w:proofErr w:type="spellEnd"/>
                      <w:r>
                        <w:t xml:space="preserve"> </w:t>
                      </w:r>
                      <w:r w:rsidR="00C65689">
                        <w:t>réagit et disparait progressivement, mais il reste en excès : la solution reste brune mais s’éclaircit progressivement.</w:t>
                      </w:r>
                    </w:p>
                    <w:p w:rsidR="00C65689" w:rsidRDefault="00C65689" w:rsidP="00A37E19">
                      <w:r>
                        <w:t xml:space="preserve">A l’équivalence, il n’y a plus de </w:t>
                      </w:r>
                      <w:proofErr w:type="spellStart"/>
                      <w:r>
                        <w:t>diiode</w:t>
                      </w:r>
                      <w:proofErr w:type="spellEnd"/>
                      <w:r>
                        <w:t xml:space="preserve"> dans l’erlenmeyer. La solution est à ce moment totalement décolorée.</w:t>
                      </w:r>
                    </w:p>
                    <w:p w:rsidR="00C65689" w:rsidRDefault="00C65689" w:rsidP="00A37E19"/>
                    <w:p w:rsidR="00000000" w:rsidRDefault="00C65689">
                      <w:r>
                        <w:t>A l’approche de l’équivalence, la solution devient jaune pâle : il est alors difficile de repérer le moment exact où la solution est totalement décolorée. On ajoute alors 4 à 5 gouttes d’empois d’amidon. On obtient alors une coloration bleue noire intense qui va disparaître brusquement  à l’équivalence, ce qui facilite le repérage.</w:t>
                      </w:r>
                    </w:p>
                    <w:bookmarkEnd w:id="1"/>
                    <w:p w:rsidR="004D68B3" w:rsidRDefault="004D68B3"/>
                  </w:txbxContent>
                </v:textbox>
                <w10:wrap type="square"/>
              </v:shape>
            </w:pict>
          </mc:Fallback>
        </mc:AlternateContent>
      </w:r>
    </w:p>
    <w:p w:rsidR="0088312D" w:rsidRDefault="0088312D" w:rsidP="00685A11"/>
    <w:p w:rsidR="00685A11" w:rsidRDefault="00504510" w:rsidP="00504510">
      <w:pPr>
        <w:pStyle w:val="Paragraphedeliste"/>
        <w:numPr>
          <w:ilvl w:val="0"/>
          <w:numId w:val="5"/>
        </w:numPr>
      </w:pPr>
      <w:r>
        <w:t xml:space="preserve">Etablir le protocole de dilution de la Bétadine® commerciale. </w:t>
      </w:r>
    </w:p>
    <w:p w:rsidR="00FD6A6B" w:rsidRDefault="00FD6A6B" w:rsidP="00FD6A6B">
      <w:pPr>
        <w:ind w:left="360"/>
        <w:rPr>
          <w:color w:val="FF0000"/>
        </w:rPr>
      </w:pPr>
      <w:r>
        <w:rPr>
          <w:color w:val="FF0000"/>
        </w:rPr>
        <w:t>La bétadine doit être diluée 10 fois (protocole à adapter en fonction de la verrerie utilisée)</w:t>
      </w:r>
    </w:p>
    <w:p w:rsidR="00FD6A6B" w:rsidRPr="00FD6A6B" w:rsidRDefault="00FD6A6B" w:rsidP="00FD6A6B">
      <w:pPr>
        <w:ind w:left="360"/>
        <w:rPr>
          <w:color w:val="FF0000"/>
        </w:rPr>
      </w:pPr>
      <w:r>
        <w:rPr>
          <w:color w:val="FF0000"/>
        </w:rPr>
        <w:t xml:space="preserve">Prélever 10,0 </w:t>
      </w:r>
      <w:proofErr w:type="spellStart"/>
      <w:r>
        <w:rPr>
          <w:color w:val="FF0000"/>
        </w:rPr>
        <w:t>mL</w:t>
      </w:r>
      <w:proofErr w:type="spellEnd"/>
      <w:r>
        <w:rPr>
          <w:color w:val="FF0000"/>
        </w:rPr>
        <w:t xml:space="preserve"> de Bétadine commerciale à l’aide d’une pipette jaugée de 10,0 </w:t>
      </w:r>
      <w:proofErr w:type="spellStart"/>
      <w:r>
        <w:rPr>
          <w:color w:val="FF0000"/>
        </w:rPr>
        <w:t>mL</w:t>
      </w:r>
      <w:proofErr w:type="spellEnd"/>
      <w:r>
        <w:rPr>
          <w:color w:val="FF0000"/>
        </w:rPr>
        <w:t xml:space="preserve">. Introduire ce volume dans une fiole jaugée de 100,0 </w:t>
      </w:r>
      <w:proofErr w:type="spellStart"/>
      <w:r>
        <w:rPr>
          <w:color w:val="FF0000"/>
        </w:rPr>
        <w:t>mL</w:t>
      </w:r>
      <w:proofErr w:type="spellEnd"/>
      <w:r>
        <w:rPr>
          <w:color w:val="FF0000"/>
        </w:rPr>
        <w:t xml:space="preserve">. Remplir avec de l’eau distillée jusqu’au ¾ de la fiole. Boucher et homogénéiser. Finir de compléter la fiole avec l’eau distillée jusqu’au trait de jauge en faisant coïncider le bas du ménisque avec le trait de jauge. Boucher et homogénéiser. </w:t>
      </w:r>
    </w:p>
    <w:p w:rsidR="00FD6A6B" w:rsidRDefault="00FD6A6B" w:rsidP="00FD6A6B">
      <w:pPr>
        <w:ind w:left="360"/>
      </w:pPr>
    </w:p>
    <w:p w:rsidR="00504510" w:rsidRDefault="00531F7A" w:rsidP="00504510">
      <w:pPr>
        <w:pStyle w:val="Paragraphedeliste"/>
        <w:numPr>
          <w:ilvl w:val="0"/>
          <w:numId w:val="5"/>
        </w:numPr>
      </w:pPr>
      <w:r>
        <w:t>Réaliser un schéma annoté permettant à un technicien de reproduire le montage sans autre documentation.</w:t>
      </w:r>
    </w:p>
    <w:p w:rsidR="00FD6A6B" w:rsidRDefault="00FD6A6B" w:rsidP="00FD6A6B">
      <w:pPr>
        <w:ind w:left="360"/>
        <w:jc w:val="center"/>
      </w:pPr>
      <w:r>
        <w:rPr>
          <w:noProof/>
          <w:lang w:eastAsia="fr-FR"/>
        </w:rPr>
        <w:lastRenderedPageBreak/>
        <w:drawing>
          <wp:inline distT="0" distB="0" distL="0" distR="0" wp14:anchorId="349E525F" wp14:editId="6A55691E">
            <wp:extent cx="1440612" cy="1483743"/>
            <wp:effectExtent l="0" t="0" r="762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36709" t="19280" r="39156" b="36503"/>
                    <a:stretch/>
                  </pic:blipFill>
                  <pic:spPr bwMode="auto">
                    <a:xfrm>
                      <a:off x="0" y="0"/>
                      <a:ext cx="1441559" cy="1484718"/>
                    </a:xfrm>
                    <a:prstGeom prst="rect">
                      <a:avLst/>
                    </a:prstGeom>
                    <a:ln>
                      <a:noFill/>
                    </a:ln>
                    <a:extLst>
                      <a:ext uri="{53640926-AAD7-44D8-BBD7-CCE9431645EC}">
                        <a14:shadowObscured xmlns:a14="http://schemas.microsoft.com/office/drawing/2010/main"/>
                      </a:ext>
                    </a:extLst>
                  </pic:spPr>
                </pic:pic>
              </a:graphicData>
            </a:graphic>
          </wp:inline>
        </w:drawing>
      </w:r>
    </w:p>
    <w:p w:rsidR="00FD6A6B" w:rsidRDefault="00FD6A6B" w:rsidP="00FD6A6B">
      <w:pPr>
        <w:ind w:left="360"/>
      </w:pPr>
    </w:p>
    <w:p w:rsidR="00504510" w:rsidRDefault="0088312D" w:rsidP="00504510">
      <w:pPr>
        <w:pStyle w:val="Paragraphedeliste"/>
        <w:numPr>
          <w:ilvl w:val="0"/>
          <w:numId w:val="5"/>
        </w:numPr>
      </w:pPr>
      <w:r>
        <w:t xml:space="preserve">Réaliser 3 </w:t>
      </w:r>
      <w:r w:rsidR="00504510">
        <w:t>titrage</w:t>
      </w:r>
      <w:r>
        <w:t>s et noter pour chacun d’eux le volume équivalent.</w:t>
      </w:r>
      <w:r w:rsidR="00531F7A">
        <w:t xml:space="preserve"> L</w:t>
      </w:r>
      <w:r w:rsidR="00060A61">
        <w:t>es trois valeurs</w:t>
      </w:r>
      <w:r w:rsidR="00531F7A">
        <w:t xml:space="preserve"> obtenues sont-elles suffisamment proches pour considérer que le dosage est reproductible ? Justifier. </w:t>
      </w:r>
      <w:r w:rsidR="00C54545">
        <w:t xml:space="preserve"> Calculer</w:t>
      </w:r>
      <w:r w:rsidR="00060A61">
        <w:t xml:space="preserve"> alors</w:t>
      </w:r>
      <w:r w:rsidR="00C54545">
        <w:t xml:space="preserve"> le volume équivalent moyen.</w:t>
      </w:r>
    </w:p>
    <w:p w:rsidR="00FD6A6B" w:rsidRDefault="00FD6A6B" w:rsidP="00FD6A6B">
      <w:pPr>
        <w:ind w:left="360"/>
      </w:pPr>
      <w:r>
        <w:rPr>
          <w:color w:val="FF0000"/>
        </w:rPr>
        <w:t>Le dosage est considéré reproductible si les valeurs de volume équivalent sont suffisamment proche (On peut considérer que l’écart entre le volume maximal et minimal est de l’ordre de grandeur de la graduation de la burette graduée)</w:t>
      </w:r>
    </w:p>
    <w:p w:rsidR="00FD6A6B" w:rsidRDefault="00FD6A6B" w:rsidP="00FD6A6B">
      <w:pPr>
        <w:ind w:left="360"/>
      </w:pPr>
    </w:p>
    <w:p w:rsidR="001C0860" w:rsidRDefault="0088312D" w:rsidP="00504510">
      <w:pPr>
        <w:pStyle w:val="Paragraphedeliste"/>
        <w:numPr>
          <w:ilvl w:val="0"/>
          <w:numId w:val="5"/>
        </w:numPr>
      </w:pPr>
      <w:r>
        <w:t xml:space="preserve">Après avoir écrit </w:t>
      </w:r>
      <w:r w:rsidR="00C54545">
        <w:t>la relation à l’équivalence entre les quantités de matière des réactifs, d</w:t>
      </w:r>
      <w:r w:rsidR="001C0860">
        <w:t>éterminer alors la concentration</w:t>
      </w:r>
      <w:r w:rsidR="00C54545">
        <w:t xml:space="preserve"> moyenne</w:t>
      </w:r>
      <w:r w:rsidR="001C0860">
        <w:t xml:space="preserve"> en diiode de la solution dilu</w:t>
      </w:r>
      <w:r w:rsidR="00060A61">
        <w:t>ée</w:t>
      </w:r>
      <w:r w:rsidR="001C0860">
        <w:t>.</w:t>
      </w:r>
    </w:p>
    <w:p w:rsidR="00FD6A6B" w:rsidRPr="00FD6A6B" w:rsidRDefault="00FD6A6B" w:rsidP="00FD6A6B">
      <w:pPr>
        <w:ind w:left="360"/>
        <w:rPr>
          <w:color w:val="FF0000"/>
        </w:rPr>
      </w:pPr>
      <w:r w:rsidRPr="00FD6A6B">
        <w:rPr>
          <w:color w:val="FF0000"/>
          <w:lang w:val="en-US"/>
        </w:rPr>
        <w:t xml:space="preserve">A </w:t>
      </w:r>
      <w:proofErr w:type="spellStart"/>
      <w:proofErr w:type="gramStart"/>
      <w:r w:rsidRPr="00FD6A6B">
        <w:rPr>
          <w:color w:val="FF0000"/>
          <w:lang w:val="en-US"/>
        </w:rPr>
        <w:t>l’équivalence</w:t>
      </w:r>
      <w:proofErr w:type="spellEnd"/>
      <w:r w:rsidRPr="00FD6A6B">
        <w:rPr>
          <w:color w:val="FF0000"/>
          <w:lang w:val="en-US"/>
        </w:rPr>
        <w:t> :</w:t>
      </w:r>
      <w:proofErr w:type="gramEnd"/>
      <w:r w:rsidRPr="00FD6A6B">
        <w:rPr>
          <w:color w:val="FF0000"/>
          <w:lang w:val="en-US"/>
        </w:rPr>
        <w:t xml:space="preserve"> </w:t>
      </w:r>
      <w:r w:rsidR="009B2943">
        <w:rPr>
          <w:color w:val="FF0000"/>
          <w:lang w:val="en-US"/>
        </w:rPr>
        <w:t xml:space="preserve">2 </w:t>
      </w:r>
      <w:r w:rsidRPr="00FD6A6B">
        <w:rPr>
          <w:color w:val="FF0000"/>
          <w:lang w:val="en-US"/>
        </w:rPr>
        <w:t>n(I</w:t>
      </w:r>
      <w:r w:rsidRPr="00FD6A6B">
        <w:rPr>
          <w:color w:val="FF0000"/>
          <w:vertAlign w:val="subscript"/>
          <w:lang w:val="en-US"/>
        </w:rPr>
        <w:t>2</w:t>
      </w:r>
      <w:r w:rsidRPr="00FD6A6B">
        <w:rPr>
          <w:color w:val="FF0000"/>
          <w:lang w:val="en-US"/>
        </w:rPr>
        <w:t>) = n(S</w:t>
      </w:r>
      <w:r>
        <w:rPr>
          <w:color w:val="FF0000"/>
          <w:vertAlign w:val="subscript"/>
          <w:lang w:val="en-US"/>
        </w:rPr>
        <w:t>2</w:t>
      </w:r>
      <w:r>
        <w:rPr>
          <w:color w:val="FF0000"/>
          <w:lang w:val="en-US"/>
        </w:rPr>
        <w:t>O</w:t>
      </w:r>
      <w:r>
        <w:rPr>
          <w:color w:val="FF0000"/>
          <w:vertAlign w:val="subscript"/>
          <w:lang w:val="en-US"/>
        </w:rPr>
        <w:t>3</w:t>
      </w:r>
      <w:r>
        <w:rPr>
          <w:color w:val="FF0000"/>
          <w:vertAlign w:val="superscript"/>
          <w:lang w:val="en-US"/>
        </w:rPr>
        <w:t>2-</w:t>
      </w:r>
      <w:r>
        <w:rPr>
          <w:color w:val="FF0000"/>
          <w:lang w:val="en-US"/>
        </w:rPr>
        <w:t xml:space="preserve">). </w:t>
      </w:r>
      <w:r w:rsidRPr="00FD6A6B">
        <w:rPr>
          <w:color w:val="FF0000"/>
        </w:rPr>
        <w:t>Le calcul est réalisé avec le volume équivalent moyen.</w:t>
      </w:r>
    </w:p>
    <w:p w:rsidR="00FD6A6B" w:rsidRPr="00FD6A6B" w:rsidRDefault="00FD6A6B" w:rsidP="00FD6A6B">
      <w:pPr>
        <w:ind w:left="360"/>
      </w:pPr>
    </w:p>
    <w:p w:rsidR="00FD6A6B" w:rsidRPr="00FD6A6B" w:rsidRDefault="00FD6A6B" w:rsidP="00FD6A6B">
      <w:pPr>
        <w:ind w:left="360"/>
      </w:pPr>
    </w:p>
    <w:p w:rsidR="00C54545" w:rsidRDefault="00C54545" w:rsidP="00504510">
      <w:pPr>
        <w:pStyle w:val="Paragraphedeliste"/>
        <w:numPr>
          <w:ilvl w:val="0"/>
          <w:numId w:val="5"/>
        </w:numPr>
      </w:pPr>
      <w:r>
        <w:t xml:space="preserve">Pour le titrage, le laboratoire impose une concentration en quantité de matière cible </w:t>
      </w:r>
      <w:proofErr w:type="spellStart"/>
      <w:r>
        <w:t>C</w:t>
      </w:r>
      <w:r>
        <w:rPr>
          <w:vertAlign w:val="subscript"/>
        </w:rPr>
        <w:t>cible</w:t>
      </w:r>
      <w:proofErr w:type="spellEnd"/>
      <w:r>
        <w:t xml:space="preserve"> = 4,0.10</w:t>
      </w:r>
      <w:r>
        <w:rPr>
          <w:vertAlign w:val="superscript"/>
        </w:rPr>
        <w:t>-3</w:t>
      </w:r>
      <w:r>
        <w:t xml:space="preserve"> mol.L</w:t>
      </w:r>
      <w:r>
        <w:rPr>
          <w:vertAlign w:val="superscript"/>
        </w:rPr>
        <w:t>-1</w:t>
      </w:r>
      <w:r>
        <w:t>. Une variation de 5</w:t>
      </w:r>
      <w:r w:rsidR="005D72B8">
        <w:t xml:space="preserve"> </w:t>
      </w:r>
      <w:r>
        <w:t>% est acceptable.</w:t>
      </w:r>
      <w:r w:rsidR="00060A61">
        <w:t xml:space="preserve"> </w:t>
      </w:r>
      <w:r w:rsidR="00531F7A">
        <w:t>Construire l’intervalle de conformité du lot en déterminant</w:t>
      </w:r>
      <w:r w:rsidR="00060A61">
        <w:t xml:space="preserve"> les valeurs </w:t>
      </w:r>
      <w:proofErr w:type="spellStart"/>
      <w:r w:rsidR="00060A61">
        <w:t>C</w:t>
      </w:r>
      <w:r w:rsidR="00060A61">
        <w:rPr>
          <w:vertAlign w:val="subscript"/>
        </w:rPr>
        <w:t>min</w:t>
      </w:r>
      <w:proofErr w:type="spellEnd"/>
      <w:r w:rsidR="00060A61">
        <w:t xml:space="preserve"> et C</w:t>
      </w:r>
      <w:r w:rsidR="00060A61">
        <w:rPr>
          <w:vertAlign w:val="subscript"/>
        </w:rPr>
        <w:t>max</w:t>
      </w:r>
      <w:r w:rsidR="00531F7A">
        <w:t>.</w:t>
      </w:r>
    </w:p>
    <w:p w:rsidR="00FD6A6B" w:rsidRDefault="00531F6E" w:rsidP="00FD6A6B">
      <w:pPr>
        <w:ind w:left="360"/>
        <w:rPr>
          <w:color w:val="FF0000"/>
        </w:rPr>
      </w:pPr>
      <w:proofErr w:type="spellStart"/>
      <w:r>
        <w:rPr>
          <w:color w:val="FF0000"/>
        </w:rPr>
        <w:t>C</w:t>
      </w:r>
      <w:r>
        <w:rPr>
          <w:color w:val="FF0000"/>
          <w:vertAlign w:val="subscript"/>
        </w:rPr>
        <w:t>min</w:t>
      </w:r>
      <w:proofErr w:type="spellEnd"/>
      <w:r>
        <w:rPr>
          <w:color w:val="FF0000"/>
        </w:rPr>
        <w:t xml:space="preserve"> = 0,95 x </w:t>
      </w:r>
      <w:proofErr w:type="spellStart"/>
      <w:r>
        <w:rPr>
          <w:color w:val="FF0000"/>
        </w:rPr>
        <w:t>C</w:t>
      </w:r>
      <w:r>
        <w:rPr>
          <w:color w:val="FF0000"/>
          <w:vertAlign w:val="subscript"/>
        </w:rPr>
        <w:t>cible</w:t>
      </w:r>
      <w:proofErr w:type="spellEnd"/>
      <w:r>
        <w:rPr>
          <w:color w:val="FF0000"/>
        </w:rPr>
        <w:t xml:space="preserve"> = 3,8 x 10</w:t>
      </w:r>
      <w:r>
        <w:rPr>
          <w:color w:val="FF0000"/>
          <w:vertAlign w:val="superscript"/>
        </w:rPr>
        <w:t>-3</w:t>
      </w:r>
      <w:r>
        <w:rPr>
          <w:color w:val="FF0000"/>
        </w:rPr>
        <w:t xml:space="preserve"> mol.L</w:t>
      </w:r>
      <w:r>
        <w:rPr>
          <w:color w:val="FF0000"/>
          <w:vertAlign w:val="superscript"/>
        </w:rPr>
        <w:t>-1</w:t>
      </w:r>
    </w:p>
    <w:p w:rsidR="00531F6E" w:rsidRDefault="00531F6E" w:rsidP="00FD6A6B">
      <w:pPr>
        <w:ind w:left="360"/>
        <w:rPr>
          <w:color w:val="FF0000"/>
        </w:rPr>
      </w:pPr>
      <w:r>
        <w:rPr>
          <w:color w:val="FF0000"/>
        </w:rPr>
        <w:t>C</w:t>
      </w:r>
      <w:r>
        <w:rPr>
          <w:color w:val="FF0000"/>
          <w:vertAlign w:val="subscript"/>
        </w:rPr>
        <w:t>max</w:t>
      </w:r>
      <w:r>
        <w:rPr>
          <w:color w:val="FF0000"/>
        </w:rPr>
        <w:t xml:space="preserve"> = 1.05 x </w:t>
      </w:r>
      <w:proofErr w:type="spellStart"/>
      <w:r>
        <w:rPr>
          <w:color w:val="FF0000"/>
        </w:rPr>
        <w:t>C</w:t>
      </w:r>
      <w:r>
        <w:rPr>
          <w:color w:val="FF0000"/>
          <w:vertAlign w:val="subscript"/>
        </w:rPr>
        <w:t>cible</w:t>
      </w:r>
      <w:proofErr w:type="spellEnd"/>
      <w:r>
        <w:rPr>
          <w:color w:val="FF0000"/>
        </w:rPr>
        <w:t xml:space="preserve"> = 4,2 x 10</w:t>
      </w:r>
      <w:r>
        <w:rPr>
          <w:color w:val="FF0000"/>
          <w:vertAlign w:val="superscript"/>
        </w:rPr>
        <w:t>-3</w:t>
      </w:r>
      <w:r>
        <w:rPr>
          <w:color w:val="FF0000"/>
        </w:rPr>
        <w:t xml:space="preserve"> mol.L</w:t>
      </w:r>
      <w:r>
        <w:rPr>
          <w:color w:val="FF0000"/>
          <w:vertAlign w:val="superscript"/>
        </w:rPr>
        <w:t>-1</w:t>
      </w:r>
    </w:p>
    <w:p w:rsidR="00531F6E" w:rsidRDefault="00531F6E" w:rsidP="00FD6A6B">
      <w:pPr>
        <w:ind w:left="360"/>
        <w:rPr>
          <w:color w:val="FF0000"/>
        </w:rPr>
      </w:pPr>
      <w:r>
        <w:rPr>
          <w:color w:val="FF0000"/>
        </w:rPr>
        <w:t>Intervalle de conformité :</w:t>
      </w:r>
    </w:p>
    <w:p w:rsidR="00531F6E" w:rsidRPr="00531F6E" w:rsidRDefault="00531F6E" w:rsidP="00FD6A6B">
      <w:pPr>
        <w:ind w:left="360"/>
        <w:rPr>
          <w:color w:val="FF0000"/>
        </w:rPr>
      </w:pPr>
      <m:oMathPara>
        <m:oMath>
          <m:r>
            <w:rPr>
              <w:rFonts w:ascii="Cambria Math" w:hAnsi="Cambria Math"/>
              <w:color w:val="FF0000"/>
            </w:rPr>
            <m:t>3,8×</m:t>
          </m:r>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-3</m:t>
              </m:r>
            </m:sup>
          </m:sSup>
          <m:r>
            <w:rPr>
              <w:rFonts w:ascii="Cambria Math" w:hAnsi="Cambria Math"/>
              <w:color w:val="FF0000"/>
            </w:rPr>
            <m:t>mol.</m:t>
          </m:r>
          <m:sSup>
            <m:sSupPr>
              <m:ctrlPr>
                <w:rPr>
                  <w:rFonts w:ascii="Cambria Math" w:hAnsi="Cambria Math"/>
                  <w:i/>
                  <w:color w:val="FF0000"/>
                </w:rPr>
              </m:ctrlPr>
            </m:sSupPr>
            <m:e>
              <m:r>
                <w:rPr>
                  <w:rFonts w:ascii="Cambria Math" w:hAnsi="Cambria Math"/>
                  <w:color w:val="FF0000"/>
                </w:rPr>
                <m:t>L</m:t>
              </m:r>
            </m:e>
            <m:sup>
              <m:r>
                <w:rPr>
                  <w:rFonts w:ascii="Cambria Math" w:hAnsi="Cambria Math"/>
                  <w:color w:val="FF0000"/>
                </w:rPr>
                <m:t>-1</m:t>
              </m:r>
            </m:sup>
          </m:sSup>
          <m:r>
            <w:rPr>
              <w:rFonts w:ascii="Cambria Math" w:hAnsi="Cambria Math"/>
              <w:color w:val="FF0000"/>
            </w:rPr>
            <m:t>≤C≤4,2 ×</m:t>
          </m:r>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-3</m:t>
              </m:r>
            </m:sup>
          </m:sSup>
          <m:r>
            <w:rPr>
              <w:rFonts w:ascii="Cambria Math" w:hAnsi="Cambria Math"/>
              <w:color w:val="FF0000"/>
            </w:rPr>
            <m:t xml:space="preserve"> mol.</m:t>
          </m:r>
          <m:sSup>
            <m:sSupPr>
              <m:ctrlPr>
                <w:rPr>
                  <w:rFonts w:ascii="Cambria Math" w:hAnsi="Cambria Math"/>
                  <w:i/>
                  <w:color w:val="FF0000"/>
                </w:rPr>
              </m:ctrlPr>
            </m:sSupPr>
            <m:e>
              <m:r>
                <w:rPr>
                  <w:rFonts w:ascii="Cambria Math" w:hAnsi="Cambria Math"/>
                  <w:color w:val="FF0000"/>
                </w:rPr>
                <m:t>L</m:t>
              </m:r>
            </m:e>
            <m:sup>
              <m:r>
                <w:rPr>
                  <w:rFonts w:ascii="Cambria Math" w:hAnsi="Cambria Math"/>
                  <w:color w:val="FF0000"/>
                </w:rPr>
                <m:t>-1</m:t>
              </m:r>
            </m:sup>
          </m:sSup>
        </m:oMath>
      </m:oMathPara>
    </w:p>
    <w:p w:rsidR="00FD6A6B" w:rsidRDefault="00FD6A6B" w:rsidP="00531F6E"/>
    <w:p w:rsidR="00531F7A" w:rsidRDefault="00531F7A" w:rsidP="00504510">
      <w:pPr>
        <w:pStyle w:val="Paragraphedeliste"/>
        <w:numPr>
          <w:ilvl w:val="0"/>
          <w:numId w:val="5"/>
        </w:numPr>
      </w:pPr>
      <w:r>
        <w:t>Citer deux sources d’erreur pouvant influe</w:t>
      </w:r>
      <w:r w:rsidR="005D72B8">
        <w:t>r sur</w:t>
      </w:r>
      <w:r>
        <w:t xml:space="preserve"> le volume à l’équivalence.</w:t>
      </w:r>
    </w:p>
    <w:p w:rsidR="00531F6E" w:rsidRDefault="00531F6E" w:rsidP="00531F6E">
      <w:pPr>
        <w:ind w:left="360"/>
      </w:pPr>
      <w:r>
        <w:rPr>
          <w:color w:val="FF0000"/>
        </w:rPr>
        <w:t xml:space="preserve">Dépassement de l’équivalence, mauvaise lecture de la burette, bulle d’air dans la burette, zéro mal réglé, fiole jaugée mal ajustée </w:t>
      </w:r>
      <w:proofErr w:type="spellStart"/>
      <w:r>
        <w:rPr>
          <w:color w:val="FF0000"/>
        </w:rPr>
        <w:t>etc</w:t>
      </w:r>
      <w:proofErr w:type="spellEnd"/>
    </w:p>
    <w:p w:rsidR="00531F6E" w:rsidRDefault="00531F6E" w:rsidP="00531F6E">
      <w:pPr>
        <w:ind w:left="360"/>
      </w:pPr>
    </w:p>
    <w:p w:rsidR="00060A61" w:rsidRPr="00504510" w:rsidRDefault="00060A61" w:rsidP="00504510">
      <w:pPr>
        <w:pStyle w:val="Paragraphedeliste"/>
        <w:numPr>
          <w:ilvl w:val="0"/>
          <w:numId w:val="5"/>
        </w:numPr>
      </w:pPr>
      <w:r>
        <w:t>Rédiger alors une conclusion argumentée à destination du responsable contrôle qualité.</w:t>
      </w:r>
    </w:p>
    <w:p w:rsidR="00685A11" w:rsidRPr="00531F6E" w:rsidRDefault="00531F6E" w:rsidP="00685A11">
      <w:pPr>
        <w:rPr>
          <w:color w:val="FF0000"/>
        </w:rPr>
      </w:pPr>
      <w:r>
        <w:rPr>
          <w:color w:val="FF0000"/>
        </w:rPr>
        <w:t xml:space="preserve">La conclusion dépendra du résultat expérimental. </w:t>
      </w:r>
    </w:p>
    <w:p w:rsidR="00685A11" w:rsidRPr="005C31CA" w:rsidRDefault="00685A11" w:rsidP="00685A11"/>
    <w:p w:rsidR="00685A11" w:rsidRDefault="00685A11" w:rsidP="00685A11"/>
    <w:p w:rsidR="00685A11" w:rsidRDefault="00685A11" w:rsidP="00685A11"/>
    <w:p w:rsidR="00685A11" w:rsidRPr="00F33EE4" w:rsidRDefault="00685A11" w:rsidP="00685A11"/>
    <w:sectPr w:rsidR="00685A11" w:rsidRPr="00F33EE4" w:rsidSect="00782487">
      <w:headerReference w:type="default" r:id="rId8"/>
      <w:footerReference w:type="default" r:id="rId9"/>
      <w:pgSz w:w="11906" w:h="16838" w:code="9"/>
      <w:pgMar w:top="1440" w:right="1077" w:bottom="1440" w:left="107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920B5" w:rsidRDefault="00E920B5">
      <w:pPr>
        <w:spacing w:line="240" w:lineRule="auto"/>
      </w:pPr>
      <w:r>
        <w:separator/>
      </w:r>
    </w:p>
  </w:endnote>
  <w:endnote w:type="continuationSeparator" w:id="0">
    <w:p w:rsidR="00E920B5" w:rsidRDefault="00E920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Wingdings 3">
    <w:panose1 w:val="050401020108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084680"/>
      <w:docPartObj>
        <w:docPartGallery w:val="Page Numbers (Bottom of Page)"/>
        <w:docPartUnique/>
      </w:docPartObj>
    </w:sdtPr>
    <w:sdtContent>
      <w:p w:rsidR="00FC44F3" w:rsidRDefault="00FC44F3">
        <w:pPr>
          <w:pStyle w:val="Pieddepage"/>
          <w:jc w:val="right"/>
        </w:pPr>
        <w:r>
          <w:fldChar w:fldCharType="begin"/>
        </w:r>
        <w:r>
          <w:instrText>PAGE   \* MERGEFORMAT</w:instrText>
        </w:r>
        <w:r>
          <w:fldChar w:fldCharType="separate"/>
        </w:r>
        <w:r w:rsidR="00531F6E">
          <w:rPr>
            <w:noProof/>
          </w:rPr>
          <w:t>1</w:t>
        </w:r>
        <w:r>
          <w:fldChar w:fldCharType="end"/>
        </w:r>
      </w:p>
    </w:sdtContent>
  </w:sdt>
  <w:p w:rsidR="00000000" w:rsidRPr="00F92BDF" w:rsidRDefault="00000000" w:rsidP="00F92BDF">
    <w:pPr>
      <w:pStyle w:val="Pieddepage"/>
      <w:jc w:val="right"/>
      <w:rPr>
        <w:color w:val="7F7F7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920B5" w:rsidRDefault="00E920B5">
      <w:pPr>
        <w:spacing w:line="240" w:lineRule="auto"/>
      </w:pPr>
      <w:r>
        <w:separator/>
      </w:r>
    </w:p>
  </w:footnote>
  <w:footnote w:type="continuationSeparator" w:id="0">
    <w:p w:rsidR="00E920B5" w:rsidRDefault="00E920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Pr="00F92BDF" w:rsidRDefault="00685A11" w:rsidP="00732F9D">
    <w:pPr>
      <w:pStyle w:val="En-tte"/>
    </w:pPr>
    <w:r>
      <w:t>1</w:t>
    </w:r>
    <w:r w:rsidRPr="007C5A2E">
      <w:rPr>
        <w:vertAlign w:val="superscript"/>
      </w:rPr>
      <w:t>ère</w:t>
    </w:r>
    <w:r>
      <w:t xml:space="preserve"> </w:t>
    </w:r>
    <w:r w:rsidRPr="00B84075">
      <w:t xml:space="preserve"> STL – SPCL </w:t>
    </w:r>
    <w:r>
      <w:t>Chimie développement durable</w:t>
    </w:r>
    <w:r w:rsidRPr="00B84075">
      <w:tab/>
    </w:r>
    <w:r>
      <w:t xml:space="preserve">                            Fiche d’activités – </w:t>
    </w:r>
    <w:r w:rsidR="00732F9D">
      <w:t xml:space="preserve">Séquence </w:t>
    </w:r>
    <w:r w:rsidR="00E85ABC">
      <w:t>6</w:t>
    </w:r>
    <w:r w:rsidR="00732F9D">
      <w:t xml:space="preserve"> : </w:t>
    </w:r>
    <w:r w:rsidR="00E85ABC">
      <w:t>Dosages directs par titrage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D44BF"/>
    <w:multiLevelType w:val="hybridMultilevel"/>
    <w:tmpl w:val="442828F8"/>
    <w:lvl w:ilvl="0" w:tplc="A8288D7A">
      <w:start w:val="1"/>
      <w:numFmt w:val="bullet"/>
      <w:lvlText w:val="–"/>
      <w:lvlJc w:val="left"/>
      <w:pPr>
        <w:ind w:left="720" w:hanging="360"/>
      </w:pPr>
      <w:rPr>
        <w:rFonts w:ascii="Century Schoolbook" w:hAnsi="Century Schoolboo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193877"/>
    <w:multiLevelType w:val="hybridMultilevel"/>
    <w:tmpl w:val="FDF43E10"/>
    <w:lvl w:ilvl="0" w:tplc="96CECF0E">
      <w:start w:val="1"/>
      <w:numFmt w:val="bullet"/>
      <w:lvlText w:val=""/>
      <w:lvlJc w:val="left"/>
      <w:pPr>
        <w:ind w:left="927" w:hanging="360"/>
      </w:pPr>
      <w:rPr>
        <w:rFonts w:ascii="Wingdings 3" w:hAnsi="Wingdings 3" w:hint="default"/>
        <w:b/>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27B87FB6"/>
    <w:multiLevelType w:val="multilevel"/>
    <w:tmpl w:val="7A8855B4"/>
    <w:lvl w:ilvl="0">
      <w:start w:val="1"/>
      <w:numFmt w:val="decimal"/>
      <w:pStyle w:val="TitreActivit"/>
      <w:lvlText w:val="ACTIVITÉ %1 : "/>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9891E9F"/>
    <w:multiLevelType w:val="hybridMultilevel"/>
    <w:tmpl w:val="F7A2BDEE"/>
    <w:lvl w:ilvl="0" w:tplc="B9068CB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A1A6A61"/>
    <w:multiLevelType w:val="hybridMultilevel"/>
    <w:tmpl w:val="B4B89E64"/>
    <w:lvl w:ilvl="0" w:tplc="D96E0B36">
      <w:start w:val="1"/>
      <w:numFmt w:val="decimal"/>
      <w:pStyle w:val="Question"/>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65367743">
    <w:abstractNumId w:val="2"/>
  </w:num>
  <w:num w:numId="2" w16cid:durableId="1972400851">
    <w:abstractNumId w:val="4"/>
  </w:num>
  <w:num w:numId="3" w16cid:durableId="934632007">
    <w:abstractNumId w:val="1"/>
  </w:num>
  <w:num w:numId="4" w16cid:durableId="1396053310">
    <w:abstractNumId w:val="0"/>
  </w:num>
  <w:num w:numId="5" w16cid:durableId="1839038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5A11"/>
    <w:rsid w:val="000317AD"/>
    <w:rsid w:val="0003753D"/>
    <w:rsid w:val="00060A61"/>
    <w:rsid w:val="00134CA2"/>
    <w:rsid w:val="0019096F"/>
    <w:rsid w:val="00190F51"/>
    <w:rsid w:val="001C0860"/>
    <w:rsid w:val="002D23D5"/>
    <w:rsid w:val="002D74BF"/>
    <w:rsid w:val="002E3BEA"/>
    <w:rsid w:val="002F56BF"/>
    <w:rsid w:val="002F6BA3"/>
    <w:rsid w:val="00342408"/>
    <w:rsid w:val="003547AE"/>
    <w:rsid w:val="003D529E"/>
    <w:rsid w:val="003E5C17"/>
    <w:rsid w:val="00412263"/>
    <w:rsid w:val="00480F04"/>
    <w:rsid w:val="004D68B3"/>
    <w:rsid w:val="004F167D"/>
    <w:rsid w:val="00502099"/>
    <w:rsid w:val="00504510"/>
    <w:rsid w:val="005051C5"/>
    <w:rsid w:val="00531F6E"/>
    <w:rsid w:val="00531F7A"/>
    <w:rsid w:val="0058094C"/>
    <w:rsid w:val="005D72B8"/>
    <w:rsid w:val="00623A0E"/>
    <w:rsid w:val="00685A11"/>
    <w:rsid w:val="006D1341"/>
    <w:rsid w:val="006F0CD8"/>
    <w:rsid w:val="006F7FCE"/>
    <w:rsid w:val="00700A2F"/>
    <w:rsid w:val="00707856"/>
    <w:rsid w:val="007269D4"/>
    <w:rsid w:val="00732F9D"/>
    <w:rsid w:val="00763968"/>
    <w:rsid w:val="00774240"/>
    <w:rsid w:val="007771AA"/>
    <w:rsid w:val="007D15B1"/>
    <w:rsid w:val="007E5092"/>
    <w:rsid w:val="007E6864"/>
    <w:rsid w:val="007F339E"/>
    <w:rsid w:val="00840197"/>
    <w:rsid w:val="0088312D"/>
    <w:rsid w:val="008F346B"/>
    <w:rsid w:val="008F66F1"/>
    <w:rsid w:val="009056BA"/>
    <w:rsid w:val="00954D8A"/>
    <w:rsid w:val="00984FF8"/>
    <w:rsid w:val="009B2943"/>
    <w:rsid w:val="009B3E7B"/>
    <w:rsid w:val="009E0C22"/>
    <w:rsid w:val="009E1C04"/>
    <w:rsid w:val="00A37E19"/>
    <w:rsid w:val="00A552C1"/>
    <w:rsid w:val="00A5727A"/>
    <w:rsid w:val="00AA06DE"/>
    <w:rsid w:val="00B00C87"/>
    <w:rsid w:val="00B63888"/>
    <w:rsid w:val="00B71528"/>
    <w:rsid w:val="00BD7B95"/>
    <w:rsid w:val="00BE6BCA"/>
    <w:rsid w:val="00BF6845"/>
    <w:rsid w:val="00C34255"/>
    <w:rsid w:val="00C374A1"/>
    <w:rsid w:val="00C43A09"/>
    <w:rsid w:val="00C54545"/>
    <w:rsid w:val="00C63B4C"/>
    <w:rsid w:val="00C65689"/>
    <w:rsid w:val="00CA5A83"/>
    <w:rsid w:val="00CB601F"/>
    <w:rsid w:val="00CC2A22"/>
    <w:rsid w:val="00CE20AC"/>
    <w:rsid w:val="00D21D80"/>
    <w:rsid w:val="00D454B6"/>
    <w:rsid w:val="00D528D2"/>
    <w:rsid w:val="00D87B4C"/>
    <w:rsid w:val="00D94017"/>
    <w:rsid w:val="00DB3730"/>
    <w:rsid w:val="00DD500C"/>
    <w:rsid w:val="00DE13CA"/>
    <w:rsid w:val="00E24ACA"/>
    <w:rsid w:val="00E558B5"/>
    <w:rsid w:val="00E61097"/>
    <w:rsid w:val="00E6584A"/>
    <w:rsid w:val="00E82D0F"/>
    <w:rsid w:val="00E85ABC"/>
    <w:rsid w:val="00E920B5"/>
    <w:rsid w:val="00EA07B8"/>
    <w:rsid w:val="00EA1FA4"/>
    <w:rsid w:val="00EB5F48"/>
    <w:rsid w:val="00EB7352"/>
    <w:rsid w:val="00EE124E"/>
    <w:rsid w:val="00F13B34"/>
    <w:rsid w:val="00F2104A"/>
    <w:rsid w:val="00F67A23"/>
    <w:rsid w:val="00FC2E29"/>
    <w:rsid w:val="00FC44F3"/>
    <w:rsid w:val="00FD6A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473B1"/>
  <w15:docId w15:val="{6FC33D07-5971-9B41-B4CF-7A8302F6F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A11"/>
    <w:pPr>
      <w:spacing w:after="0" w:line="276" w:lineRule="auto"/>
      <w:jc w:val="both"/>
    </w:pPr>
    <w:rPr>
      <w:rFonts w:ascii="Calibri" w:eastAsia="Calibri" w:hAnsi="Calibri" w:cs="Times New Roman"/>
      <w:sz w:val="20"/>
    </w:rPr>
  </w:style>
  <w:style w:type="paragraph" w:styleId="Titre1">
    <w:name w:val="heading 1"/>
    <w:basedOn w:val="Normal"/>
    <w:next w:val="Normal"/>
    <w:link w:val="Titre1Car"/>
    <w:uiPriority w:val="9"/>
    <w:qFormat/>
    <w:rsid w:val="00685A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aliases w:val="Partie"/>
    <w:basedOn w:val="Normal"/>
    <w:next w:val="Normal"/>
    <w:link w:val="Titre3Car"/>
    <w:uiPriority w:val="9"/>
    <w:unhideWhenUsed/>
    <w:qFormat/>
    <w:rsid w:val="00685A11"/>
    <w:pPr>
      <w:numPr>
        <w:ilvl w:val="1"/>
      </w:numPr>
      <w:spacing w:before="120" w:after="60"/>
      <w:outlineLvl w:val="2"/>
    </w:pPr>
    <w:rPr>
      <w:rFonts w:eastAsia="Times New Roman"/>
      <w:b/>
      <w:iCs/>
      <w:color w:val="7F7F7F"/>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Partie Car"/>
    <w:basedOn w:val="Policepardfaut"/>
    <w:link w:val="Titre3"/>
    <w:uiPriority w:val="9"/>
    <w:rsid w:val="00685A11"/>
    <w:rPr>
      <w:rFonts w:ascii="Calibri" w:eastAsia="Times New Roman" w:hAnsi="Calibri" w:cs="Times New Roman"/>
      <w:b/>
      <w:iCs/>
      <w:color w:val="7F7F7F"/>
      <w:szCs w:val="24"/>
    </w:rPr>
  </w:style>
  <w:style w:type="paragraph" w:styleId="Titre">
    <w:name w:val="Title"/>
    <w:basedOn w:val="Normal"/>
    <w:next w:val="Normal"/>
    <w:link w:val="TitreCar"/>
    <w:uiPriority w:val="10"/>
    <w:qFormat/>
    <w:rsid w:val="00685A11"/>
    <w:pPr>
      <w:pBdr>
        <w:bottom w:val="single" w:sz="8" w:space="1" w:color="17365D"/>
      </w:pBdr>
      <w:spacing w:before="360" w:after="480" w:line="240" w:lineRule="auto"/>
      <w:contextualSpacing/>
    </w:pPr>
    <w:rPr>
      <w:rFonts w:eastAsia="Times New Roman"/>
      <w:b/>
      <w:color w:val="17365D"/>
      <w:spacing w:val="5"/>
      <w:kern w:val="28"/>
      <w:sz w:val="48"/>
      <w:szCs w:val="52"/>
    </w:rPr>
  </w:style>
  <w:style w:type="character" w:customStyle="1" w:styleId="TitreCar">
    <w:name w:val="Titre Car"/>
    <w:basedOn w:val="Policepardfaut"/>
    <w:link w:val="Titre"/>
    <w:uiPriority w:val="10"/>
    <w:rsid w:val="00685A11"/>
    <w:rPr>
      <w:rFonts w:ascii="Calibri" w:eastAsia="Times New Roman" w:hAnsi="Calibri" w:cs="Times New Roman"/>
      <w:b/>
      <w:color w:val="17365D"/>
      <w:spacing w:val="5"/>
      <w:kern w:val="28"/>
      <w:sz w:val="48"/>
      <w:szCs w:val="52"/>
    </w:rPr>
  </w:style>
  <w:style w:type="paragraph" w:styleId="Paragraphedeliste">
    <w:name w:val="List Paragraph"/>
    <w:basedOn w:val="Normal"/>
    <w:link w:val="ParagraphedelisteCar"/>
    <w:uiPriority w:val="34"/>
    <w:qFormat/>
    <w:rsid w:val="00685A11"/>
    <w:pPr>
      <w:ind w:left="720"/>
      <w:contextualSpacing/>
    </w:pPr>
  </w:style>
  <w:style w:type="paragraph" w:styleId="En-tte">
    <w:name w:val="header"/>
    <w:basedOn w:val="Normal"/>
    <w:link w:val="En-tteCar"/>
    <w:uiPriority w:val="99"/>
    <w:unhideWhenUsed/>
    <w:rsid w:val="00685A11"/>
    <w:pPr>
      <w:tabs>
        <w:tab w:val="center" w:pos="2694"/>
        <w:tab w:val="right" w:pos="9781"/>
      </w:tabs>
      <w:spacing w:line="240" w:lineRule="auto"/>
    </w:pPr>
    <w:rPr>
      <w:i/>
      <w:color w:val="7F7F7F"/>
    </w:rPr>
  </w:style>
  <w:style w:type="character" w:customStyle="1" w:styleId="En-tteCar">
    <w:name w:val="En-tête Car"/>
    <w:basedOn w:val="Policepardfaut"/>
    <w:link w:val="En-tte"/>
    <w:uiPriority w:val="99"/>
    <w:rsid w:val="00685A11"/>
    <w:rPr>
      <w:rFonts w:ascii="Calibri" w:eastAsia="Calibri" w:hAnsi="Calibri" w:cs="Times New Roman"/>
      <w:i/>
      <w:color w:val="7F7F7F"/>
      <w:sz w:val="20"/>
    </w:rPr>
  </w:style>
  <w:style w:type="paragraph" w:styleId="Pieddepage">
    <w:name w:val="footer"/>
    <w:basedOn w:val="Normal"/>
    <w:link w:val="PieddepageCar"/>
    <w:uiPriority w:val="99"/>
    <w:unhideWhenUsed/>
    <w:rsid w:val="00685A11"/>
    <w:pPr>
      <w:tabs>
        <w:tab w:val="center" w:pos="4536"/>
        <w:tab w:val="right" w:pos="9072"/>
      </w:tabs>
      <w:spacing w:line="240" w:lineRule="auto"/>
    </w:pPr>
  </w:style>
  <w:style w:type="character" w:customStyle="1" w:styleId="PieddepageCar">
    <w:name w:val="Pied de page Car"/>
    <w:basedOn w:val="Policepardfaut"/>
    <w:link w:val="Pieddepage"/>
    <w:uiPriority w:val="99"/>
    <w:rsid w:val="00685A11"/>
    <w:rPr>
      <w:rFonts w:ascii="Calibri" w:eastAsia="Calibri" w:hAnsi="Calibri" w:cs="Times New Roman"/>
      <w:sz w:val="20"/>
    </w:rPr>
  </w:style>
  <w:style w:type="paragraph" w:customStyle="1" w:styleId="Aretenirtexte">
    <w:name w:val="A retenir texte"/>
    <w:basedOn w:val="Normal"/>
    <w:link w:val="AretenirtexteCar"/>
    <w:rsid w:val="00685A11"/>
    <w:pPr>
      <w:pBdr>
        <w:top w:val="single" w:sz="4" w:space="1" w:color="B6DDE8"/>
        <w:bottom w:val="single" w:sz="4" w:space="1" w:color="B6DDE8"/>
      </w:pBdr>
      <w:shd w:val="clear" w:color="auto" w:fill="E2F2F6"/>
      <w:ind w:left="567" w:right="567"/>
    </w:pPr>
    <w:rPr>
      <w:color w:val="215868"/>
    </w:rPr>
  </w:style>
  <w:style w:type="character" w:customStyle="1" w:styleId="AretenirtexteCar">
    <w:name w:val="A retenir texte Car"/>
    <w:basedOn w:val="Policepardfaut"/>
    <w:link w:val="Aretenirtexte"/>
    <w:rsid w:val="00685A11"/>
    <w:rPr>
      <w:rFonts w:ascii="Calibri" w:eastAsia="Calibri" w:hAnsi="Calibri" w:cs="Times New Roman"/>
      <w:color w:val="215868"/>
      <w:sz w:val="20"/>
      <w:shd w:val="clear" w:color="auto" w:fill="E2F2F6"/>
    </w:rPr>
  </w:style>
  <w:style w:type="paragraph" w:customStyle="1" w:styleId="TitreActivit">
    <w:name w:val="TitreActivité"/>
    <w:basedOn w:val="Titre1"/>
    <w:next w:val="Normal"/>
    <w:link w:val="TitreActivitCar"/>
    <w:qFormat/>
    <w:rsid w:val="00685A11"/>
    <w:pPr>
      <w:numPr>
        <w:numId w:val="1"/>
      </w:numPr>
      <w:spacing w:before="360" w:after="120"/>
      <w:ind w:left="1559" w:hanging="1559"/>
    </w:pPr>
    <w:rPr>
      <w:rFonts w:ascii="Calibri" w:eastAsia="Times New Roman" w:hAnsi="Calibri" w:cs="Times New Roman"/>
      <w:b/>
      <w:bCs/>
      <w:color w:val="1F497D"/>
      <w:sz w:val="28"/>
      <w:szCs w:val="28"/>
    </w:rPr>
  </w:style>
  <w:style w:type="paragraph" w:customStyle="1" w:styleId="Question">
    <w:name w:val="Question"/>
    <w:basedOn w:val="Paragraphedeliste"/>
    <w:link w:val="QuestionCar"/>
    <w:qFormat/>
    <w:rsid w:val="00685A11"/>
    <w:pPr>
      <w:numPr>
        <w:numId w:val="2"/>
      </w:numPr>
    </w:pPr>
  </w:style>
  <w:style w:type="character" w:customStyle="1" w:styleId="TitreActivitCar">
    <w:name w:val="TitreActivité Car"/>
    <w:basedOn w:val="Titre1Car"/>
    <w:link w:val="TitreActivit"/>
    <w:rsid w:val="00685A11"/>
    <w:rPr>
      <w:rFonts w:ascii="Calibri" w:eastAsia="Times New Roman" w:hAnsi="Calibri" w:cs="Times New Roman"/>
      <w:b/>
      <w:bCs/>
      <w:color w:val="1F497D"/>
      <w:sz w:val="28"/>
      <w:szCs w:val="28"/>
    </w:rPr>
  </w:style>
  <w:style w:type="character" w:customStyle="1" w:styleId="ParagraphedelisteCar">
    <w:name w:val="Paragraphe de liste Car"/>
    <w:basedOn w:val="Policepardfaut"/>
    <w:link w:val="Paragraphedeliste"/>
    <w:uiPriority w:val="34"/>
    <w:rsid w:val="00685A11"/>
    <w:rPr>
      <w:rFonts w:ascii="Calibri" w:eastAsia="Calibri" w:hAnsi="Calibri" w:cs="Times New Roman"/>
      <w:sz w:val="20"/>
    </w:rPr>
  </w:style>
  <w:style w:type="character" w:customStyle="1" w:styleId="QuestionCar">
    <w:name w:val="Question Car"/>
    <w:basedOn w:val="ParagraphedelisteCar"/>
    <w:link w:val="Question"/>
    <w:rsid w:val="00685A11"/>
    <w:rPr>
      <w:rFonts w:ascii="Calibri" w:eastAsia="Calibri" w:hAnsi="Calibri" w:cs="Times New Roman"/>
      <w:sz w:val="20"/>
    </w:rPr>
  </w:style>
  <w:style w:type="paragraph" w:customStyle="1" w:styleId="TitreCCM">
    <w:name w:val="TitreCCM"/>
    <w:basedOn w:val="Titre1"/>
    <w:next w:val="Normal"/>
    <w:link w:val="TitreCCMCar"/>
    <w:rsid w:val="00685A11"/>
    <w:pPr>
      <w:spacing w:before="360" w:after="120"/>
    </w:pPr>
    <w:rPr>
      <w:rFonts w:ascii="Calibri" w:eastAsia="Times New Roman" w:hAnsi="Calibri" w:cs="Times New Roman"/>
      <w:b/>
      <w:bCs/>
      <w:color w:val="1F497D"/>
      <w:sz w:val="28"/>
      <w:szCs w:val="28"/>
    </w:rPr>
  </w:style>
  <w:style w:type="character" w:customStyle="1" w:styleId="TitreCCMCar">
    <w:name w:val="TitreCCM Car"/>
    <w:basedOn w:val="Titre1Car"/>
    <w:link w:val="TitreCCM"/>
    <w:rsid w:val="00685A11"/>
    <w:rPr>
      <w:rFonts w:ascii="Calibri" w:eastAsia="Times New Roman" w:hAnsi="Calibri" w:cs="Times New Roman"/>
      <w:b/>
      <w:bCs/>
      <w:color w:val="1F497D"/>
      <w:sz w:val="28"/>
      <w:szCs w:val="28"/>
    </w:rPr>
  </w:style>
  <w:style w:type="character" w:customStyle="1" w:styleId="Titre1Car">
    <w:name w:val="Titre 1 Car"/>
    <w:basedOn w:val="Policepardfaut"/>
    <w:link w:val="Titre1"/>
    <w:uiPriority w:val="9"/>
    <w:rsid w:val="00685A11"/>
    <w:rPr>
      <w:rFonts w:asciiTheme="majorHAnsi" w:eastAsiaTheme="majorEastAsia" w:hAnsiTheme="majorHAnsi" w:cstheme="majorBidi"/>
      <w:color w:val="2F5496" w:themeColor="accent1" w:themeShade="BF"/>
      <w:sz w:val="32"/>
      <w:szCs w:val="32"/>
    </w:rPr>
  </w:style>
  <w:style w:type="paragraph" w:styleId="Textedebulles">
    <w:name w:val="Balloon Text"/>
    <w:basedOn w:val="Normal"/>
    <w:link w:val="TextedebullesCar"/>
    <w:uiPriority w:val="99"/>
    <w:semiHidden/>
    <w:unhideWhenUsed/>
    <w:rsid w:val="00F2104A"/>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104A"/>
    <w:rPr>
      <w:rFonts w:ascii="Tahoma" w:eastAsia="Calibri" w:hAnsi="Tahoma" w:cs="Tahoma"/>
      <w:sz w:val="16"/>
      <w:szCs w:val="16"/>
    </w:rPr>
  </w:style>
  <w:style w:type="paragraph" w:styleId="NormalWeb">
    <w:name w:val="Normal (Web)"/>
    <w:basedOn w:val="Normal"/>
    <w:uiPriority w:val="99"/>
    <w:unhideWhenUsed/>
    <w:rsid w:val="00A37E19"/>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katex-mathml">
    <w:name w:val="katex-mathml"/>
    <w:basedOn w:val="Policepardfaut"/>
    <w:rsid w:val="00A37E19"/>
  </w:style>
  <w:style w:type="character" w:customStyle="1" w:styleId="mord">
    <w:name w:val="mord"/>
    <w:basedOn w:val="Policepardfaut"/>
    <w:rsid w:val="00A37E19"/>
  </w:style>
  <w:style w:type="character" w:customStyle="1" w:styleId="vlist-s">
    <w:name w:val="vlist-s"/>
    <w:basedOn w:val="Policepardfaut"/>
    <w:rsid w:val="00A37E19"/>
  </w:style>
  <w:style w:type="character" w:styleId="Textedelespacerserv">
    <w:name w:val="Placeholder Text"/>
    <w:basedOn w:val="Policepardfaut"/>
    <w:uiPriority w:val="99"/>
    <w:semiHidden/>
    <w:rsid w:val="004D68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66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409</Words>
  <Characters>2253</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Universcience</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emelyne renaglia</dc:creator>
  <cp:lastModifiedBy>freddy minc</cp:lastModifiedBy>
  <cp:revision>5</cp:revision>
  <cp:lastPrinted>2017-05-29T07:12:00Z</cp:lastPrinted>
  <dcterms:created xsi:type="dcterms:W3CDTF">2026-07-08T12:56:00Z</dcterms:created>
  <dcterms:modified xsi:type="dcterms:W3CDTF">2026-07-16T12:11:00Z</dcterms:modified>
</cp:coreProperties>
</file>